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6C546D">
            <w:pPr>
              <w:jc w:val="center"/>
              <w:rPr>
                <w:rFonts w:ascii="Arial" w:hAnsi="Arial"/>
              </w:rPr>
            </w:pPr>
            <w:r w:rsidRPr="006C546D">
              <w:rPr>
                <w:rFonts w:ascii="Arial" w:hAnsi="Arial"/>
                <w:noProof/>
                <w:lang w:val="en-CA" w:eastAsia="en-CA"/>
              </w:rPr>
              <w:drawing>
                <wp:inline distT="0" distB="0" distL="0" distR="0">
                  <wp:extent cx="736600" cy="1066800"/>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96F80" w:rsidP="006C546D">
            <w:pPr>
              <w:rPr>
                <w:rFonts w:ascii="Arial" w:hAnsi="Arial"/>
              </w:rPr>
            </w:pPr>
            <w:r>
              <w:rPr>
                <w:rFonts w:ascii="Arial" w:hAnsi="Arial"/>
              </w:rPr>
              <w:t xml:space="preserve">Social Services Worker </w:t>
            </w:r>
          </w:p>
          <w:p w:rsidR="006C546D" w:rsidRDefault="006C546D" w:rsidP="006C546D">
            <w:pPr>
              <w:rPr>
                <w:rFonts w:ascii="Arial" w:hAnsi="Arial"/>
              </w:rPr>
            </w:pPr>
            <w:r>
              <w:rPr>
                <w:rFonts w:ascii="Arial" w:hAnsi="Arial"/>
              </w:rPr>
              <w:t xml:space="preserve">Native Specialization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6C546D">
            <w:pPr>
              <w:rPr>
                <w:rFonts w:ascii="Arial" w:hAnsi="Arial"/>
              </w:rPr>
            </w:pPr>
            <w:r>
              <w:rPr>
                <w:rFonts w:ascii="Arial" w:hAnsi="Arial"/>
              </w:rPr>
              <w:t xml:space="preserve">SSW-NS faculty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F42B9" w:rsidP="006C546D">
            <w:pPr>
              <w:rPr>
                <w:rFonts w:ascii="Arial" w:hAnsi="Arial"/>
              </w:rPr>
            </w:pPr>
            <w:r>
              <w:rPr>
                <w:rFonts w:ascii="Arial" w:hAnsi="Arial"/>
              </w:rPr>
              <w:t>Jan.</w:t>
            </w:r>
            <w:r w:rsidR="005134AA">
              <w:rPr>
                <w:rFonts w:ascii="Arial" w:hAnsi="Arial"/>
              </w:rPr>
              <w:t xml:space="preserve"> </w:t>
            </w:r>
            <w:r w:rsidR="006C546D">
              <w:rPr>
                <w:rFonts w:ascii="Arial" w:hAnsi="Arial"/>
              </w:rPr>
              <w:t>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134AA">
            <w:pPr>
              <w:rPr>
                <w:rFonts w:ascii="Arial" w:hAnsi="Arial"/>
              </w:rPr>
            </w:pPr>
            <w:r>
              <w:rPr>
                <w:rFonts w:ascii="Arial" w:hAnsi="Arial"/>
              </w:rPr>
              <w:t>Jan. 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B1685">
            <w:pPr>
              <w:jc w:val="center"/>
              <w:rPr>
                <w:rFonts w:ascii="Arial" w:hAnsi="Arial"/>
              </w:rPr>
            </w:pPr>
            <w:r>
              <w:t>“Angelique Lemay”</w:t>
            </w:r>
          </w:p>
        </w:tc>
        <w:tc>
          <w:tcPr>
            <w:tcW w:w="1188" w:type="dxa"/>
          </w:tcPr>
          <w:p w:rsidR="00D1300B" w:rsidRDefault="005B1685">
            <w:pPr>
              <w:rPr>
                <w:rFonts w:ascii="Arial" w:hAnsi="Arial"/>
              </w:rPr>
            </w:pPr>
            <w:r>
              <w:rPr>
                <w:rFonts w:ascii="Arial" w:hAnsi="Arial"/>
              </w:rPr>
              <w:t>Dec/09</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10B75">
            <w:pPr>
              <w:pStyle w:val="Heading2"/>
              <w:rPr>
                <w:rFonts w:ascii="Arial" w:hAnsi="Arial"/>
                <w:lang w:val="en-US"/>
              </w:rPr>
            </w:pPr>
            <w:r>
              <w:rPr>
                <w:rFonts w:ascii="Arial" w:hAnsi="Arial"/>
                <w:lang w:val="en-US"/>
              </w:rPr>
              <w:t>CHAIR, COMMUNITY SERVICES</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10B75">
              <w:rPr>
                <w:rFonts w:ascii="Arial" w:hAnsi="Arial"/>
                <w:b w:val="0"/>
                <w:i/>
              </w:rPr>
              <w:t>the Chair,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010B75">
                  <w:rPr>
                    <w:rFonts w:ascii="Arial" w:hAnsi="Arial"/>
                    <w:i/>
                    <w:lang w:val="en-GB"/>
                  </w:rPr>
                  <w:t>Health</w:t>
                </w:r>
              </w:smartTag>
            </w:smartTag>
            <w:r w:rsidR="00010B75">
              <w:rPr>
                <w:rFonts w:ascii="Arial" w:hAnsi="Arial"/>
                <w:i/>
                <w:lang w:val="en-GB"/>
              </w:rPr>
              <w:t xml:space="preserve"> and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010B75">
              <w:rPr>
                <w:rFonts w:ascii="Arial" w:hAnsi="Arial"/>
                <w:i/>
                <w:lang w:val="en-GB"/>
              </w:rPr>
              <w:t xml:space="preserve"> 2603</w:t>
            </w:r>
          </w:p>
          <w:p w:rsidR="00010B75" w:rsidRDefault="00010B75">
            <w:pPr>
              <w:tabs>
                <w:tab w:val="center" w:pos="4560"/>
              </w:tabs>
              <w:jc w:val="center"/>
              <w:rPr>
                <w:rFonts w:ascii="Arial" w:hAnsi="Arial"/>
                <w:i/>
                <w:lang w:val="en-GB"/>
              </w:rPr>
            </w:pPr>
          </w:p>
          <w:p w:rsidR="00010B75" w:rsidRDefault="00010B75">
            <w:pPr>
              <w:tabs>
                <w:tab w:val="center" w:pos="4560"/>
              </w:tabs>
              <w:jc w:val="center"/>
              <w:rPr>
                <w:rFonts w:ascii="Arial" w:hAnsi="Arial"/>
                <w:i/>
                <w:lang w:val="en-GB"/>
              </w:rPr>
            </w:pPr>
          </w:p>
          <w:p w:rsidR="00010B75" w:rsidRDefault="00010B75">
            <w:pPr>
              <w:tabs>
                <w:tab w:val="center" w:pos="4560"/>
              </w:tabs>
              <w:jc w:val="center"/>
              <w:rPr>
                <w:rFonts w:ascii="Arial" w:hAnsi="Arial"/>
              </w:rPr>
            </w:pPr>
          </w:p>
        </w:tc>
      </w:tr>
    </w:tbl>
    <w:p w:rsidR="00010B75" w:rsidRDefault="00010B75">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LEARNING OUTCOMES AND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 xml:space="preserve">.Critically </w:t>
            </w:r>
            <w:proofErr w:type="gramStart"/>
            <w:r w:rsidRPr="00010B75">
              <w:rPr>
                <w:rFonts w:ascii="Arial" w:hAnsi="Arial" w:cs="Arial"/>
              </w:rPr>
              <w:t>analyze</w:t>
            </w:r>
            <w:proofErr w:type="gramEnd"/>
            <w:r w:rsidRPr="00010B75">
              <w:rPr>
                <w:rFonts w:ascii="Arial" w:hAnsi="Arial" w:cs="Arial"/>
              </w:rPr>
              <w:t xml:space="preserv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bl>
    <w:p w:rsidR="00010B75" w:rsidRDefault="00010B75">
      <w:r>
        <w:br w:type="page"/>
      </w:r>
    </w:p>
    <w:p w:rsidR="00567C5D" w:rsidRDefault="00567C5D"/>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(CAP), Canada Health and Social Transfer (CHST) and the Social Union Framework Agreement (SUFA)</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bl>
    <w:p w:rsidR="00010B75" w:rsidRDefault="00010B75">
      <w:r>
        <w:br w:type="page"/>
      </w:r>
    </w:p>
    <w:p w:rsidR="00567C5D" w:rsidRDefault="00567C5D"/>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r w:rsidR="00E57715" w:rsidRPr="00010B75">
              <w:rPr>
                <w:rFonts w:ascii="Arial" w:hAnsi="Arial" w:cs="Arial"/>
              </w:rPr>
              <w:t>YCJA</w:t>
            </w:r>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p w:rsidR="00010B75" w:rsidRDefault="00010B75">
      <w:r>
        <w:br w:type="page"/>
      </w:r>
    </w:p>
    <w:p w:rsidR="00567C5D" w:rsidRDefault="00567C5D"/>
    <w:tbl>
      <w:tblPr>
        <w:tblW w:w="0" w:type="auto"/>
        <w:tblLayout w:type="fixed"/>
        <w:tblLook w:val="0000"/>
      </w:tblPr>
      <w:tblGrid>
        <w:gridCol w:w="675"/>
        <w:gridCol w:w="8181"/>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IV.</w:t>
            </w:r>
          </w:p>
        </w:tc>
        <w:tc>
          <w:tcPr>
            <w:tcW w:w="8181" w:type="dxa"/>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Pr="00010B75"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5B5AE1" w:rsidRPr="00010B75" w:rsidRDefault="005B5AE1">
            <w:pPr>
              <w:rPr>
                <w:rFonts w:ascii="Arial" w:hAnsi="Arial" w:cs="Arial"/>
              </w:rPr>
            </w:pPr>
          </w:p>
          <w:p w:rsidR="005B5AE1" w:rsidRPr="00010B75" w:rsidRDefault="005B5AE1">
            <w:pPr>
              <w:rPr>
                <w:rFonts w:ascii="Arial" w:hAnsi="Arial" w:cs="Arial"/>
              </w:rPr>
            </w:pPr>
            <w:r w:rsidRPr="00010B75">
              <w:rPr>
                <w:rFonts w:ascii="Arial" w:hAnsi="Arial" w:cs="Arial"/>
              </w:rPr>
              <w:t>Handouts will originate from such sources as:</w:t>
            </w:r>
          </w:p>
          <w:p w:rsidR="005B5AE1" w:rsidRPr="00010B75" w:rsidRDefault="005B5AE1">
            <w:pPr>
              <w:rPr>
                <w:rFonts w:ascii="Arial" w:hAnsi="Arial" w:cs="Arial"/>
              </w:rPr>
            </w:pPr>
          </w:p>
          <w:p w:rsidR="005B5AE1" w:rsidRPr="00010B75" w:rsidRDefault="005B5AE1">
            <w:pPr>
              <w:rPr>
                <w:rFonts w:ascii="Arial" w:hAnsi="Arial" w:cs="Arial"/>
                <w:i/>
              </w:rPr>
            </w:pPr>
            <w:proofErr w:type="spellStart"/>
            <w:r w:rsidRPr="00010B75">
              <w:rPr>
                <w:rFonts w:ascii="Arial" w:hAnsi="Arial" w:cs="Arial"/>
              </w:rPr>
              <w:t>Cariol</w:t>
            </w:r>
            <w:proofErr w:type="spellEnd"/>
            <w:r w:rsidR="0068422C" w:rsidRPr="00010B75">
              <w:rPr>
                <w:rFonts w:ascii="Arial" w:hAnsi="Arial" w:cs="Arial"/>
              </w:rPr>
              <w:t>, B. (2005)</w:t>
            </w:r>
            <w:r w:rsidRPr="00010B75">
              <w:rPr>
                <w:rFonts w:ascii="Arial" w:hAnsi="Arial" w:cs="Arial"/>
              </w:rPr>
              <w:t xml:space="preserve">  </w:t>
            </w:r>
            <w:r w:rsidRPr="00010B75">
              <w:rPr>
                <w:rFonts w:ascii="Arial" w:hAnsi="Arial" w:cs="Arial"/>
                <w:i/>
              </w:rPr>
              <w:t xml:space="preserve">Case Critical: Social Services &amp; Social Justice in </w:t>
            </w:r>
            <w:smartTag w:uri="urn:schemas-microsoft-com:office:smarttags" w:element="country-region">
              <w:r w:rsidRPr="00010B75">
                <w:rPr>
                  <w:rFonts w:ascii="Arial" w:hAnsi="Arial" w:cs="Arial"/>
                  <w:i/>
                </w:rPr>
                <w:t>Canada</w:t>
              </w:r>
            </w:smartTag>
            <w:r w:rsidRPr="00010B75">
              <w:rPr>
                <w:rFonts w:ascii="Arial" w:hAnsi="Arial" w:cs="Arial"/>
                <w:i/>
              </w:rPr>
              <w:t xml:space="preserve"> Fifth Edition</w:t>
            </w:r>
            <w:r w:rsidR="0068422C" w:rsidRPr="00010B75">
              <w:rPr>
                <w:rFonts w:ascii="Arial" w:hAnsi="Arial" w:cs="Arial"/>
                <w:i/>
              </w:rPr>
              <w:t xml:space="preserve">; </w:t>
            </w:r>
            <w:smartTag w:uri="urn:schemas-microsoft-com:office:smarttags" w:element="City">
              <w:smartTag w:uri="urn:schemas-microsoft-com:office:smarttags" w:element="place">
                <w:r w:rsidR="0068422C" w:rsidRPr="00010B75">
                  <w:rPr>
                    <w:rFonts w:ascii="Arial" w:hAnsi="Arial" w:cs="Arial"/>
                  </w:rPr>
                  <w:t>Toronto</w:t>
                </w:r>
              </w:smartTag>
            </w:smartTag>
            <w:r w:rsidR="0068422C" w:rsidRPr="00010B75">
              <w:rPr>
                <w:rFonts w:ascii="Arial" w:hAnsi="Arial" w:cs="Arial"/>
              </w:rPr>
              <w:t>, On: Between the Lines Publishing</w:t>
            </w:r>
            <w:r w:rsidRPr="00010B75">
              <w:rPr>
                <w:rFonts w:ascii="Arial" w:hAnsi="Arial" w:cs="Arial"/>
                <w:i/>
              </w:rPr>
              <w:t xml:space="preserve"> </w:t>
            </w:r>
          </w:p>
          <w:p w:rsidR="0068422C" w:rsidRPr="00010B75" w:rsidRDefault="0068422C">
            <w:pPr>
              <w:rPr>
                <w:rFonts w:ascii="Arial" w:hAnsi="Arial" w:cs="Arial"/>
              </w:rPr>
            </w:pPr>
          </w:p>
          <w:p w:rsidR="005B5AE1" w:rsidRPr="00010B75" w:rsidRDefault="005B5AE1">
            <w:pPr>
              <w:rPr>
                <w:rFonts w:ascii="Arial" w:hAnsi="Arial" w:cs="Arial"/>
              </w:rPr>
            </w:pPr>
            <w:proofErr w:type="spellStart"/>
            <w:r w:rsidRPr="00010B75">
              <w:rPr>
                <w:rFonts w:ascii="Arial" w:hAnsi="Arial" w:cs="Arial"/>
              </w:rPr>
              <w:t>Chartrand</w:t>
            </w:r>
            <w:proofErr w:type="spellEnd"/>
            <w:r w:rsidR="0068422C" w:rsidRPr="00010B75">
              <w:rPr>
                <w:rFonts w:ascii="Arial" w:hAnsi="Arial" w:cs="Arial"/>
              </w:rPr>
              <w:t>, P. (2002)</w:t>
            </w:r>
            <w:r w:rsidRPr="00010B75">
              <w:rPr>
                <w:rFonts w:ascii="Arial" w:hAnsi="Arial" w:cs="Arial"/>
              </w:rPr>
              <w:t xml:space="preserve"> </w:t>
            </w:r>
            <w:r w:rsidRPr="00010B75">
              <w:rPr>
                <w:rFonts w:ascii="Arial" w:hAnsi="Arial" w:cs="Arial"/>
                <w:i/>
              </w:rPr>
              <w:t xml:space="preserve">Who Are </w:t>
            </w:r>
            <w:smartTag w:uri="urn:schemas-microsoft-com:office:smarttags" w:element="country-region">
              <w:smartTag w:uri="urn:schemas-microsoft-com:office:smarttags" w:element="place">
                <w:r w:rsidRPr="00010B75">
                  <w:rPr>
                    <w:rFonts w:ascii="Arial" w:hAnsi="Arial" w:cs="Arial"/>
                    <w:i/>
                  </w:rPr>
                  <w:t>Canada</w:t>
                </w:r>
              </w:smartTag>
            </w:smartTag>
            <w:r w:rsidRPr="00010B75">
              <w:rPr>
                <w:rFonts w:ascii="Arial" w:hAnsi="Arial" w:cs="Arial"/>
                <w:i/>
              </w:rPr>
              <w:t xml:space="preserve">’s Aboriginal Peoples? </w:t>
            </w:r>
            <w:r w:rsidR="0068422C" w:rsidRPr="00010B75">
              <w:rPr>
                <w:rFonts w:ascii="Arial" w:hAnsi="Arial" w:cs="Arial"/>
                <w:i/>
              </w:rPr>
              <w:t>Recognition</w:t>
            </w:r>
            <w:r w:rsidRPr="00010B75">
              <w:rPr>
                <w:rFonts w:ascii="Arial" w:hAnsi="Arial" w:cs="Arial"/>
                <w:i/>
              </w:rPr>
              <w:t>, Definition and Jurisdiction</w:t>
            </w:r>
            <w:r w:rsidR="0068422C" w:rsidRPr="00010B75">
              <w:rPr>
                <w:rFonts w:ascii="Arial" w:hAnsi="Arial" w:cs="Arial"/>
                <w:i/>
              </w:rPr>
              <w:t xml:space="preserve">; </w:t>
            </w:r>
            <w:smartTag w:uri="urn:schemas-microsoft-com:office:smarttags" w:element="place">
              <w:smartTag w:uri="urn:schemas-microsoft-com:office:smarttags" w:element="City">
                <w:r w:rsidR="0068422C" w:rsidRPr="00010B75">
                  <w:rPr>
                    <w:rFonts w:ascii="Arial" w:hAnsi="Arial" w:cs="Arial"/>
                    <w:i/>
                  </w:rPr>
                  <w:t>Saskatoon</w:t>
                </w:r>
              </w:smartTag>
              <w:r w:rsidR="0068422C" w:rsidRPr="00010B75">
                <w:rPr>
                  <w:rFonts w:ascii="Arial" w:hAnsi="Arial" w:cs="Arial"/>
                  <w:i/>
                </w:rPr>
                <w:t xml:space="preserve">, </w:t>
              </w:r>
              <w:smartTag w:uri="urn:schemas-microsoft-com:office:smarttags" w:element="State">
                <w:r w:rsidR="0068422C" w:rsidRPr="00010B75">
                  <w:rPr>
                    <w:rFonts w:ascii="Arial" w:hAnsi="Arial" w:cs="Arial"/>
                    <w:i/>
                  </w:rPr>
                  <w:t>SK</w:t>
                </w:r>
              </w:smartTag>
            </w:smartTag>
            <w:r w:rsidR="0068422C" w:rsidRPr="00010B75">
              <w:rPr>
                <w:rFonts w:ascii="Arial" w:hAnsi="Arial" w:cs="Arial"/>
                <w:i/>
              </w:rPr>
              <w:t xml:space="preserve">: </w:t>
            </w:r>
            <w:proofErr w:type="spellStart"/>
            <w:r w:rsidR="0068422C" w:rsidRPr="00010B75">
              <w:rPr>
                <w:rFonts w:ascii="Arial" w:hAnsi="Arial" w:cs="Arial"/>
                <w:i/>
              </w:rPr>
              <w:t>Purich</w:t>
            </w:r>
            <w:proofErr w:type="spellEnd"/>
            <w:r w:rsidR="0068422C" w:rsidRPr="00010B75">
              <w:rPr>
                <w:rFonts w:ascii="Arial" w:hAnsi="Arial" w:cs="Arial"/>
                <w:i/>
              </w:rPr>
              <w:t xml:space="preserve"> Publishing</w:t>
            </w:r>
          </w:p>
          <w:p w:rsidR="0068422C" w:rsidRPr="00010B75" w:rsidRDefault="0068422C" w:rsidP="0068422C">
            <w:pPr>
              <w:rPr>
                <w:rFonts w:ascii="Arial" w:hAnsi="Arial" w:cs="Arial"/>
              </w:rPr>
            </w:pPr>
          </w:p>
          <w:p w:rsidR="0068422C" w:rsidRPr="00010B75" w:rsidRDefault="0068422C" w:rsidP="0068422C">
            <w:pPr>
              <w:rPr>
                <w:rFonts w:ascii="Arial" w:hAnsi="Arial" w:cs="Arial"/>
              </w:rPr>
            </w:pPr>
            <w:r w:rsidRPr="00010B75">
              <w:rPr>
                <w:rFonts w:ascii="Arial" w:hAnsi="Arial" w:cs="Arial"/>
              </w:rPr>
              <w:t xml:space="preserve">Hick, S. (2007) </w:t>
            </w:r>
            <w:r w:rsidRPr="00010B75">
              <w:rPr>
                <w:rFonts w:ascii="Arial" w:hAnsi="Arial" w:cs="Arial"/>
                <w:i/>
              </w:rPr>
              <w:t xml:space="preserve">Social Welfare in </w:t>
            </w:r>
            <w:smartTag w:uri="urn:schemas-microsoft-com:office:smarttags" w:element="country-region">
              <w:r w:rsidRPr="00010B75">
                <w:rPr>
                  <w:rFonts w:ascii="Arial" w:hAnsi="Arial" w:cs="Arial"/>
                  <w:i/>
                </w:rPr>
                <w:t>Canada</w:t>
              </w:r>
            </w:smartTag>
            <w:r w:rsidRPr="00010B75">
              <w:rPr>
                <w:rFonts w:ascii="Arial" w:hAnsi="Arial" w:cs="Arial"/>
                <w:i/>
              </w:rPr>
              <w:t xml:space="preserve">: Understanding Income Security Second Edition; </w:t>
            </w:r>
            <w:smartTag w:uri="urn:schemas-microsoft-com:office:smarttags" w:element="City">
              <w:smartTag w:uri="urn:schemas-microsoft-com:office:smarttags" w:element="place">
                <w:r w:rsidRPr="00010B75">
                  <w:rPr>
                    <w:rFonts w:ascii="Arial" w:hAnsi="Arial" w:cs="Arial"/>
                  </w:rPr>
                  <w:t>Toronto</w:t>
                </w:r>
              </w:smartTag>
            </w:smartTag>
            <w:r w:rsidRPr="00010B75">
              <w:rPr>
                <w:rFonts w:ascii="Arial" w:hAnsi="Arial" w:cs="Arial"/>
              </w:rPr>
              <w:t>: Thompson Education Publishing</w:t>
            </w:r>
          </w:p>
          <w:p w:rsidR="0068422C" w:rsidRPr="00010B75" w:rsidRDefault="0068422C">
            <w:pPr>
              <w:rPr>
                <w:rFonts w:ascii="Arial" w:hAnsi="Arial" w:cs="Arial"/>
              </w:rPr>
            </w:pPr>
          </w:p>
          <w:p w:rsidR="0068422C" w:rsidRPr="00010B75" w:rsidRDefault="0068422C">
            <w:pPr>
              <w:rPr>
                <w:rFonts w:ascii="Arial" w:hAnsi="Arial" w:cs="Arial"/>
              </w:rPr>
            </w:pPr>
            <w:r w:rsidRPr="00010B75">
              <w:rPr>
                <w:rFonts w:ascii="Arial" w:hAnsi="Arial" w:cs="Arial"/>
              </w:rPr>
              <w:t xml:space="preserve">National Council of Welfare Reports: </w:t>
            </w:r>
            <w:r w:rsidRPr="00010B75">
              <w:rPr>
                <w:rFonts w:ascii="Arial" w:hAnsi="Arial" w:cs="Arial"/>
                <w:i/>
              </w:rPr>
              <w:t xml:space="preserve">First Nations, Métis, and Inuit Children and Youth: Time To Act; </w:t>
            </w:r>
            <w:r w:rsidRPr="00010B75">
              <w:rPr>
                <w:rFonts w:ascii="Arial" w:hAnsi="Arial" w:cs="Arial"/>
              </w:rPr>
              <w:t>Fall 2007/Volume#127</w:t>
            </w:r>
          </w:p>
          <w:p w:rsidR="0068422C" w:rsidRPr="00010B75" w:rsidRDefault="0068422C">
            <w:pPr>
              <w:rPr>
                <w:rFonts w:ascii="Arial" w:hAnsi="Arial" w:cs="Arial"/>
              </w:rPr>
            </w:pPr>
          </w:p>
          <w:p w:rsidR="0068422C" w:rsidRPr="00010B75" w:rsidRDefault="0068422C">
            <w:pPr>
              <w:rPr>
                <w:rFonts w:ascii="Arial" w:hAnsi="Arial" w:cs="Arial"/>
              </w:rPr>
            </w:pPr>
            <w:r w:rsidRPr="00010B75">
              <w:rPr>
                <w:rFonts w:ascii="Arial" w:hAnsi="Arial" w:cs="Arial"/>
              </w:rPr>
              <w:t xml:space="preserve">Restoration of Jurisdiction Project: Education Working Group 2006/2007 Annual Report Anishinaabe </w:t>
            </w:r>
            <w:proofErr w:type="spellStart"/>
            <w:r w:rsidRPr="00010B75">
              <w:rPr>
                <w:rFonts w:ascii="Arial" w:hAnsi="Arial" w:cs="Arial"/>
              </w:rPr>
              <w:t>Kinomaadswin</w:t>
            </w:r>
            <w:proofErr w:type="spellEnd"/>
            <w:r w:rsidRPr="00010B75">
              <w:rPr>
                <w:rFonts w:ascii="Arial" w:hAnsi="Arial" w:cs="Arial"/>
              </w:rPr>
              <w:t xml:space="preserve"> </w:t>
            </w:r>
            <w:proofErr w:type="spellStart"/>
            <w:r w:rsidRPr="00010B75">
              <w:rPr>
                <w:rFonts w:ascii="Arial" w:hAnsi="Arial" w:cs="Arial"/>
              </w:rPr>
              <w:t>Nongo</w:t>
            </w:r>
            <w:proofErr w:type="spellEnd"/>
            <w:r w:rsidRPr="00010B75">
              <w:rPr>
                <w:rFonts w:ascii="Arial" w:hAnsi="Arial" w:cs="Arial"/>
              </w:rPr>
              <w:t xml:space="preserve"> Anishinaabe Pane</w:t>
            </w:r>
          </w:p>
        </w:tc>
      </w:tr>
    </w:tbl>
    <w:p w:rsidR="00D1300B" w:rsidRDefault="00D1300B">
      <w:pPr>
        <w:rPr>
          <w:rFonts w:ascii="Arial" w:hAnsi="Arial" w:cs="Arial"/>
        </w:rPr>
      </w:pPr>
    </w:p>
    <w:p w:rsidR="00010B75" w:rsidRDefault="00010B75">
      <w:pPr>
        <w:rPr>
          <w:rFonts w:ascii="Arial" w:hAnsi="Arial" w:cs="Arial"/>
        </w:rPr>
      </w:pPr>
    </w:p>
    <w:tbl>
      <w:tblPr>
        <w:tblW w:w="9558" w:type="dxa"/>
        <w:tblLayout w:type="fixed"/>
        <w:tblLook w:val="0000"/>
      </w:tblPr>
      <w:tblGrid>
        <w:gridCol w:w="675"/>
        <w:gridCol w:w="8883"/>
      </w:tblGrid>
      <w:tr w:rsidR="00D1300B" w:rsidRPr="00010B75">
        <w:trPr>
          <w:cantSplit/>
          <w:trHeight w:val="4770"/>
        </w:trPr>
        <w:tc>
          <w:tcPr>
            <w:tcW w:w="675" w:type="dxa"/>
          </w:tcPr>
          <w:p w:rsidR="00D1300B" w:rsidRPr="00010B75" w:rsidRDefault="00D1300B">
            <w:pPr>
              <w:rPr>
                <w:rFonts w:ascii="Arial" w:hAnsi="Arial" w:cs="Arial"/>
                <w:b/>
              </w:rPr>
            </w:pPr>
            <w:r w:rsidRPr="00010B75">
              <w:rPr>
                <w:rFonts w:ascii="Arial" w:hAnsi="Arial" w:cs="Arial"/>
                <w:b/>
              </w:rPr>
              <w:t>V.</w:t>
            </w:r>
          </w:p>
        </w:tc>
        <w:tc>
          <w:tcPr>
            <w:tcW w:w="8883" w:type="dxa"/>
          </w:tcPr>
          <w:p w:rsidR="00D1300B" w:rsidRPr="00010B75" w:rsidRDefault="00D1300B">
            <w:pPr>
              <w:rPr>
                <w:rFonts w:ascii="Arial" w:hAnsi="Arial" w:cs="Arial"/>
                <w:b/>
              </w:rPr>
            </w:pPr>
            <w:r w:rsidRPr="00010B75">
              <w:rPr>
                <w:rFonts w:ascii="Arial" w:hAnsi="Arial" w:cs="Arial"/>
                <w:b/>
              </w:rPr>
              <w:t>EVALUATION PROCESS/GRADING SYSTEM:</w:t>
            </w:r>
          </w:p>
          <w:p w:rsidR="00010B75" w:rsidRDefault="00010B75" w:rsidP="00AB3291">
            <w:pPr>
              <w:rPr>
                <w:rFonts w:ascii="Arial" w:hAnsi="Arial" w:cs="Arial"/>
              </w:rPr>
            </w:pPr>
          </w:p>
          <w:p w:rsidR="00010B75" w:rsidRPr="00010B75" w:rsidRDefault="00010B75" w:rsidP="00010B75">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r w:rsidRPr="00010B75">
              <w:rPr>
                <w:rFonts w:cs="Arial"/>
                <w:b/>
                <w:u w:val="single"/>
              </w:rPr>
              <w:t>DUE (tentative)</w:t>
            </w:r>
          </w:p>
          <w:p w:rsidR="00010B75" w:rsidRPr="00010B75" w:rsidRDefault="00010B75" w:rsidP="00010B75">
            <w:pPr>
              <w:pStyle w:val="EnvelopeReturn"/>
              <w:rPr>
                <w:rFonts w:cs="Arial"/>
                <w:b/>
                <w:u w:val="single"/>
              </w:rPr>
            </w:pPr>
          </w:p>
          <w:p w:rsidR="00010B75" w:rsidRPr="00010B75" w:rsidRDefault="00010B75" w:rsidP="00010B75">
            <w:pPr>
              <w:pStyle w:val="EnvelopeReturn"/>
              <w:tabs>
                <w:tab w:val="left" w:pos="3930"/>
                <w:tab w:val="left" w:pos="5355"/>
              </w:tabs>
              <w:rPr>
                <w:rFonts w:cs="Arial"/>
              </w:rPr>
            </w:pPr>
            <w:r w:rsidRPr="00010B75">
              <w:rPr>
                <w:rFonts w:cs="Arial"/>
              </w:rPr>
              <w:t>Self Government Paper                      20%             Week 5</w:t>
            </w:r>
          </w:p>
          <w:p w:rsidR="00010B75" w:rsidRPr="00010B75" w:rsidRDefault="00010B75" w:rsidP="00010B75">
            <w:pPr>
              <w:pStyle w:val="EnvelopeReturn"/>
              <w:tabs>
                <w:tab w:val="left" w:pos="3930"/>
                <w:tab w:val="left" w:pos="5355"/>
              </w:tabs>
              <w:rPr>
                <w:rFonts w:cs="Arial"/>
              </w:rPr>
            </w:pPr>
            <w:r w:rsidRPr="00010B75">
              <w:rPr>
                <w:rFonts w:cs="Arial"/>
              </w:rPr>
              <w:t xml:space="preserve">Test #1 </w:t>
            </w:r>
            <w:r w:rsidRPr="00010B75">
              <w:rPr>
                <w:rFonts w:cs="Arial"/>
              </w:rPr>
              <w:tab/>
              <w:t>25%</w:t>
            </w:r>
            <w:r w:rsidRPr="00010B75">
              <w:rPr>
                <w:rFonts w:cs="Arial"/>
              </w:rPr>
              <w:tab/>
              <w:t>Week 7</w:t>
            </w:r>
          </w:p>
          <w:p w:rsidR="00010B75" w:rsidRPr="00010B75" w:rsidRDefault="00010B75" w:rsidP="00010B75">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t>Week 11</w:t>
            </w:r>
          </w:p>
          <w:p w:rsidR="00010B75" w:rsidRPr="00010B75" w:rsidRDefault="00010B75" w:rsidP="00010B75">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t>Week 13</w:t>
            </w:r>
          </w:p>
          <w:p w:rsidR="00010B75" w:rsidRPr="00010B75" w:rsidRDefault="00010B75" w:rsidP="00010B75">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t>Week 16</w:t>
            </w:r>
          </w:p>
          <w:p w:rsidR="00010B75" w:rsidRPr="00010B75" w:rsidRDefault="00010B75" w:rsidP="00010B75">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010B75" w:rsidRPr="00010B75" w:rsidRDefault="00010B75" w:rsidP="00010B75">
            <w:pPr>
              <w:pStyle w:val="EnvelopeReturn"/>
              <w:tabs>
                <w:tab w:val="left" w:pos="3930"/>
                <w:tab w:val="left" w:pos="5445"/>
              </w:tabs>
              <w:rPr>
                <w:rFonts w:cs="Arial"/>
                <w:b/>
              </w:rPr>
            </w:pPr>
            <w:r w:rsidRPr="00010B75">
              <w:rPr>
                <w:rFonts w:cs="Arial"/>
                <w:b/>
              </w:rPr>
              <w:t>TOTAL</w:t>
            </w:r>
            <w:r w:rsidRPr="00010B75">
              <w:rPr>
                <w:rFonts w:cs="Arial"/>
                <w:b/>
              </w:rPr>
              <w:tab/>
              <w:t>100%</w:t>
            </w:r>
          </w:p>
          <w:p w:rsidR="00010B75" w:rsidRPr="00010B75" w:rsidRDefault="00010B75" w:rsidP="00010B75">
            <w:pPr>
              <w:rPr>
                <w:rFonts w:ascii="Arial" w:hAnsi="Arial" w:cs="Arial"/>
              </w:rPr>
            </w:pPr>
          </w:p>
          <w:p w:rsidR="00010B75" w:rsidRPr="00010B75" w:rsidRDefault="00010B75" w:rsidP="00010B75">
            <w:pPr>
              <w:pStyle w:val="EnvelopeReturn"/>
              <w:rPr>
                <w:rFonts w:cs="Arial"/>
              </w:rPr>
            </w:pPr>
            <w:r w:rsidRPr="00010B75">
              <w:rPr>
                <w:rFonts w:cs="Arial"/>
              </w:rPr>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010B75" w:rsidRPr="00010B75" w:rsidRDefault="00010B75" w:rsidP="00010B75">
            <w:pPr>
              <w:pStyle w:val="EnvelopeReturn"/>
              <w:rPr>
                <w:rFonts w:cs="Arial"/>
                <w:bCs/>
              </w:rPr>
            </w:pPr>
          </w:p>
          <w:p w:rsidR="00D1300B" w:rsidRPr="00010B75" w:rsidRDefault="00D1300B" w:rsidP="00AB3291">
            <w:pPr>
              <w:rPr>
                <w:rFonts w:ascii="Arial" w:hAnsi="Arial" w:cs="Arial"/>
              </w:rPr>
            </w:pPr>
          </w:p>
        </w:tc>
      </w:tr>
    </w:tbl>
    <w:p w:rsidR="00010B75" w:rsidRDefault="00010B75">
      <w:r>
        <w:br w:type="page"/>
      </w:r>
    </w:p>
    <w:p w:rsidR="00567C5D" w:rsidRDefault="00567C5D"/>
    <w:tbl>
      <w:tblPr>
        <w:tblW w:w="9558" w:type="dxa"/>
        <w:tblLayout w:type="fixed"/>
        <w:tblLook w:val="0000"/>
      </w:tblPr>
      <w:tblGrid>
        <w:gridCol w:w="675"/>
        <w:gridCol w:w="8883"/>
      </w:tblGrid>
      <w:tr w:rsidR="00010B75" w:rsidRPr="00010B75">
        <w:trPr>
          <w:cantSplit/>
          <w:trHeight w:val="7380"/>
        </w:trPr>
        <w:tc>
          <w:tcPr>
            <w:tcW w:w="675" w:type="dxa"/>
          </w:tcPr>
          <w:p w:rsidR="00010B75" w:rsidRPr="00010B75" w:rsidRDefault="00010B75" w:rsidP="00010B75">
            <w:pPr>
              <w:rPr>
                <w:rFonts w:ascii="Arial" w:hAnsi="Arial" w:cs="Arial"/>
                <w:b/>
              </w:rPr>
            </w:pPr>
          </w:p>
        </w:tc>
        <w:tc>
          <w:tcPr>
            <w:tcW w:w="8883" w:type="dxa"/>
          </w:tcPr>
          <w:p w:rsidR="00010B75" w:rsidRDefault="00010B75" w:rsidP="00010B75">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self government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010B75" w:rsidRDefault="00010B75" w:rsidP="00AB3291">
            <w:pPr>
              <w:rPr>
                <w:rFonts w:ascii="Arial" w:hAnsi="Arial" w:cs="Arial"/>
              </w:rPr>
            </w:pPr>
          </w:p>
          <w:p w:rsidR="00010B75" w:rsidRPr="00010B75" w:rsidRDefault="00010B75" w:rsidP="00010B75">
            <w:pPr>
              <w:rPr>
                <w:rFonts w:ascii="Arial" w:hAnsi="Arial" w:cs="Arial"/>
              </w:rPr>
            </w:pPr>
            <w:r w:rsidRPr="00010B75">
              <w:rPr>
                <w:rFonts w:ascii="Arial" w:hAnsi="Arial" w:cs="Arial"/>
              </w:rPr>
              <w:br w:type="page"/>
            </w:r>
            <w:r w:rsidRPr="00010B75">
              <w:rPr>
                <w:rFonts w:ascii="Arial" w:hAnsi="Arial" w:cs="Arial"/>
                <w:b/>
              </w:rPr>
              <w:t>Analysis of a Social Problem and Community Presentation :</w:t>
            </w:r>
            <w:r w:rsidRPr="00010B75">
              <w:rPr>
                <w:rFonts w:ascii="Arial" w:hAnsi="Arial" w:cs="Arial"/>
              </w:rPr>
              <w:t xml:space="preserve"> </w:t>
            </w:r>
          </w:p>
          <w:p w:rsidR="00010B75" w:rsidRPr="00010B75" w:rsidRDefault="00010B75" w:rsidP="00010B75">
            <w:pPr>
              <w:rPr>
                <w:rFonts w:ascii="Arial" w:hAnsi="Arial" w:cs="Arial"/>
              </w:rPr>
            </w:pPr>
            <w:r w:rsidRPr="00010B75">
              <w:rPr>
                <w:rFonts w:ascii="Arial" w:hAnsi="Arial" w:cs="Arial"/>
              </w:rPr>
              <w:t>Students will be assigned to groups for this assignment. Each student will be provided with a copy of Time to Act Report on Aboriginal Poverty from the National Council of Welfare Reports.  There are individual and group requirements for this assignment. Use of LMS Discussion Threads will constitute a requirement as part of the grade for this assignment.</w:t>
            </w:r>
          </w:p>
          <w:p w:rsidR="00010B75" w:rsidRPr="00010B75" w:rsidRDefault="00010B75" w:rsidP="00010B75">
            <w:pPr>
              <w:rPr>
                <w:rFonts w:ascii="Arial" w:hAnsi="Arial" w:cs="Arial"/>
              </w:rPr>
            </w:pPr>
            <w:r w:rsidRPr="00010B75">
              <w:rPr>
                <w:rFonts w:ascii="Arial" w:hAnsi="Arial" w:cs="Arial"/>
              </w:rPr>
              <w:t xml:space="preserve">Each group will create a project timeline to complete the requirements of this project.  Each group will .Each group will prepare brief surveys (5-10 questions) related to information in Chapter 3-8 of the report. Each survey will be given to a minimum of 10 people. Results of the survey will be summarized and presented as part of your document and PowerPoint. Each group will prepare a hard copy document and a PowerPoint of the material requested in the Assignment Booklet.  Documents are to be written using APA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 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 Assignment Booklet will be provided by the professor.</w:t>
            </w:r>
          </w:p>
          <w:p w:rsidR="00010B75" w:rsidRPr="00010B75" w:rsidRDefault="00010B75" w:rsidP="00AB3291">
            <w:pPr>
              <w:rPr>
                <w:rFonts w:ascii="Arial" w:hAnsi="Arial" w:cs="Arial"/>
              </w:rPr>
            </w:pPr>
          </w:p>
          <w:p w:rsidR="00010B75" w:rsidRPr="00010B75" w:rsidRDefault="00010B75" w:rsidP="00AB3291">
            <w:pPr>
              <w:rPr>
                <w:rFonts w:ascii="Arial" w:hAnsi="Arial" w:cs="Arial"/>
                <w:b/>
              </w:rPr>
            </w:pPr>
          </w:p>
        </w:tc>
      </w:tr>
      <w:tr w:rsidR="00D1300B" w:rsidRPr="00010B75">
        <w:trPr>
          <w:cantSplit/>
        </w:trPr>
        <w:tc>
          <w:tcPr>
            <w:tcW w:w="675" w:type="dxa"/>
          </w:tcPr>
          <w:p w:rsidR="00D1300B" w:rsidRPr="00010B75" w:rsidRDefault="00D1300B">
            <w:pPr>
              <w:pStyle w:val="EnvelopeReturn"/>
              <w:rPr>
                <w:rFonts w:cs="Arial"/>
              </w:rPr>
            </w:pPr>
          </w:p>
        </w:tc>
        <w:tc>
          <w:tcPr>
            <w:tcW w:w="8883" w:type="dxa"/>
          </w:tcPr>
          <w:p w:rsidR="00D1300B" w:rsidRPr="00010B75" w:rsidRDefault="00D1300B">
            <w:pPr>
              <w:rPr>
                <w:rFonts w:ascii="Arial" w:hAnsi="Arial" w:cs="Arial"/>
              </w:rPr>
            </w:pPr>
            <w:r w:rsidRPr="00010B75">
              <w:rPr>
                <w:rFonts w:ascii="Arial" w:hAnsi="Arial" w:cs="Arial"/>
              </w:rPr>
              <w:t>The following semester grades will be assigned to students:</w:t>
            </w:r>
          </w:p>
        </w:tc>
      </w:tr>
    </w:tbl>
    <w:p w:rsidR="00D1300B" w:rsidRPr="00010B75" w:rsidRDefault="00D1300B">
      <w:pPr>
        <w:rPr>
          <w:rFonts w:ascii="Arial" w:hAnsi="Arial" w:cs="Arial"/>
        </w:rPr>
      </w:pPr>
    </w:p>
    <w:tbl>
      <w:tblPr>
        <w:tblW w:w="0" w:type="auto"/>
        <w:tblLayout w:type="fixed"/>
        <w:tblLook w:val="0000"/>
      </w:tblPr>
      <w:tblGrid>
        <w:gridCol w:w="675"/>
        <w:gridCol w:w="1701"/>
        <w:gridCol w:w="4678"/>
        <w:gridCol w:w="1802"/>
      </w:tblGrid>
      <w:tr w:rsidR="00D1300B" w:rsidRPr="005134AA">
        <w:tc>
          <w:tcPr>
            <w:tcW w:w="675" w:type="dxa"/>
          </w:tcPr>
          <w:p w:rsidR="00D1300B" w:rsidRPr="005134AA" w:rsidRDefault="00D1300B">
            <w:pPr>
              <w:rPr>
                <w:rFonts w:ascii="Arial" w:hAnsi="Arial" w:cs="Arial"/>
              </w:rPr>
            </w:pPr>
          </w:p>
        </w:tc>
        <w:tc>
          <w:tcPr>
            <w:tcW w:w="1701" w:type="dxa"/>
          </w:tcPr>
          <w:p w:rsidR="00D1300B" w:rsidRPr="005134AA" w:rsidRDefault="00D1300B">
            <w:pPr>
              <w:jc w:val="center"/>
              <w:rPr>
                <w:rFonts w:ascii="Arial" w:hAnsi="Arial" w:cs="Arial"/>
                <w:iCs/>
              </w:rPr>
            </w:pPr>
          </w:p>
          <w:p w:rsidR="00D1300B" w:rsidRPr="005134AA" w:rsidRDefault="00D1300B">
            <w:pPr>
              <w:pStyle w:val="Heading2"/>
              <w:rPr>
                <w:rFonts w:ascii="Arial" w:hAnsi="Arial" w:cs="Arial"/>
                <w:b w:val="0"/>
                <w:u w:val="single"/>
              </w:rPr>
            </w:pPr>
            <w:r w:rsidRPr="005134AA">
              <w:rPr>
                <w:rFonts w:ascii="Arial" w:hAnsi="Arial" w:cs="Arial"/>
                <w:b w:val="0"/>
                <w:u w:val="single"/>
              </w:rPr>
              <w:t>Grade</w:t>
            </w:r>
          </w:p>
        </w:tc>
        <w:tc>
          <w:tcPr>
            <w:tcW w:w="4678" w:type="dxa"/>
          </w:tcPr>
          <w:p w:rsidR="00D1300B" w:rsidRPr="005134AA" w:rsidRDefault="00D1300B">
            <w:pPr>
              <w:jc w:val="center"/>
              <w:rPr>
                <w:rFonts w:ascii="Arial" w:hAnsi="Arial" w:cs="Arial"/>
                <w:iCs/>
              </w:rPr>
            </w:pPr>
          </w:p>
          <w:p w:rsidR="00D1300B" w:rsidRPr="005134AA" w:rsidRDefault="00D1300B">
            <w:pPr>
              <w:pStyle w:val="Heading1"/>
              <w:rPr>
                <w:rFonts w:ascii="Arial" w:hAnsi="Arial" w:cs="Arial"/>
                <w:b w:val="0"/>
              </w:rPr>
            </w:pPr>
            <w:r w:rsidRPr="005134AA">
              <w:rPr>
                <w:rFonts w:ascii="Arial" w:hAnsi="Arial" w:cs="Arial"/>
                <w:b w:val="0"/>
              </w:rPr>
              <w:t>Definition</w:t>
            </w:r>
          </w:p>
        </w:tc>
        <w:tc>
          <w:tcPr>
            <w:tcW w:w="1802" w:type="dxa"/>
          </w:tcPr>
          <w:p w:rsidR="00D1300B" w:rsidRPr="005134AA" w:rsidRDefault="00D1300B">
            <w:pPr>
              <w:jc w:val="center"/>
              <w:rPr>
                <w:rFonts w:ascii="Arial" w:hAnsi="Arial" w:cs="Arial"/>
                <w:iCs/>
              </w:rPr>
            </w:pPr>
            <w:r w:rsidRPr="005134AA">
              <w:rPr>
                <w:rFonts w:ascii="Arial" w:hAnsi="Arial" w:cs="Arial"/>
                <w:iCs/>
              </w:rPr>
              <w:t xml:space="preserve">Grade Point </w:t>
            </w:r>
            <w:r w:rsidRPr="005134AA">
              <w:rPr>
                <w:rFonts w:ascii="Arial" w:hAnsi="Arial" w:cs="Arial"/>
                <w:iCs/>
                <w:u w:val="single"/>
              </w:rPr>
              <w:t>Equivalent</w:t>
            </w:r>
          </w:p>
        </w:tc>
      </w:tr>
      <w:tr w:rsidR="00D1300B" w:rsidRPr="00010B75">
        <w:trPr>
          <w:cantSplit/>
        </w:trPr>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A+</w:t>
            </w:r>
          </w:p>
        </w:tc>
        <w:tc>
          <w:tcPr>
            <w:tcW w:w="4678" w:type="dxa"/>
          </w:tcPr>
          <w:p w:rsidR="00D1300B" w:rsidRPr="00010B75" w:rsidRDefault="00D1300B">
            <w:pPr>
              <w:jc w:val="center"/>
              <w:rPr>
                <w:rFonts w:ascii="Arial" w:hAnsi="Arial" w:cs="Arial"/>
              </w:rPr>
            </w:pPr>
            <w:r w:rsidRPr="00010B75">
              <w:rPr>
                <w:rFonts w:ascii="Arial" w:hAnsi="Arial" w:cs="Arial"/>
              </w:rPr>
              <w:t>90 – 100%</w:t>
            </w:r>
          </w:p>
        </w:tc>
        <w:tc>
          <w:tcPr>
            <w:tcW w:w="1802" w:type="dxa"/>
            <w:vMerge w:val="restart"/>
            <w:vAlign w:val="center"/>
          </w:tcPr>
          <w:p w:rsidR="00D1300B" w:rsidRPr="00010B75" w:rsidRDefault="00D1300B">
            <w:pPr>
              <w:jc w:val="center"/>
              <w:rPr>
                <w:rFonts w:ascii="Arial" w:hAnsi="Arial" w:cs="Arial"/>
              </w:rPr>
            </w:pPr>
            <w:r w:rsidRPr="00010B75">
              <w:rPr>
                <w:rFonts w:ascii="Arial" w:hAnsi="Arial" w:cs="Arial"/>
              </w:rPr>
              <w:t>4.00</w:t>
            </w:r>
          </w:p>
        </w:tc>
      </w:tr>
      <w:tr w:rsidR="00D1300B" w:rsidRPr="00010B75">
        <w:trPr>
          <w:cantSplit/>
        </w:trPr>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A</w:t>
            </w:r>
          </w:p>
        </w:tc>
        <w:tc>
          <w:tcPr>
            <w:tcW w:w="4678" w:type="dxa"/>
          </w:tcPr>
          <w:p w:rsidR="00D1300B" w:rsidRPr="00010B75" w:rsidRDefault="00D1300B">
            <w:pPr>
              <w:jc w:val="center"/>
              <w:rPr>
                <w:rFonts w:ascii="Arial" w:hAnsi="Arial" w:cs="Arial"/>
              </w:rPr>
            </w:pPr>
            <w:r w:rsidRPr="00010B75">
              <w:rPr>
                <w:rFonts w:ascii="Arial" w:hAnsi="Arial" w:cs="Arial"/>
              </w:rPr>
              <w:t>80 – 89%</w:t>
            </w:r>
          </w:p>
        </w:tc>
        <w:tc>
          <w:tcPr>
            <w:tcW w:w="1802" w:type="dxa"/>
            <w:vMerge/>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B</w:t>
            </w:r>
          </w:p>
        </w:tc>
        <w:tc>
          <w:tcPr>
            <w:tcW w:w="4678" w:type="dxa"/>
          </w:tcPr>
          <w:p w:rsidR="00D1300B" w:rsidRPr="00010B75" w:rsidRDefault="00D1300B">
            <w:pPr>
              <w:jc w:val="center"/>
              <w:rPr>
                <w:rFonts w:ascii="Arial" w:hAnsi="Arial" w:cs="Arial"/>
              </w:rPr>
            </w:pPr>
            <w:r w:rsidRPr="00010B75">
              <w:rPr>
                <w:rFonts w:ascii="Arial" w:hAnsi="Arial" w:cs="Arial"/>
              </w:rPr>
              <w:t xml:space="preserve">70 </w:t>
            </w:r>
            <w:r w:rsidR="008F73BE" w:rsidRPr="00010B75">
              <w:rPr>
                <w:rFonts w:ascii="Arial" w:hAnsi="Arial" w:cs="Arial"/>
              </w:rPr>
              <w:t>–</w:t>
            </w:r>
            <w:r w:rsidRPr="00010B75">
              <w:rPr>
                <w:rFonts w:ascii="Arial" w:hAnsi="Arial" w:cs="Arial"/>
              </w:rPr>
              <w:t xml:space="preserve"> 79%</w:t>
            </w:r>
          </w:p>
        </w:tc>
        <w:tc>
          <w:tcPr>
            <w:tcW w:w="1802" w:type="dxa"/>
          </w:tcPr>
          <w:p w:rsidR="00D1300B" w:rsidRPr="00010B75" w:rsidRDefault="00D1300B">
            <w:pPr>
              <w:jc w:val="center"/>
              <w:rPr>
                <w:rFonts w:ascii="Arial" w:hAnsi="Arial" w:cs="Arial"/>
              </w:rPr>
            </w:pPr>
            <w:r w:rsidRPr="00010B75">
              <w:rPr>
                <w:rFonts w:ascii="Arial" w:hAnsi="Arial" w:cs="Arial"/>
              </w:rPr>
              <w:t>3.00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C</w:t>
            </w:r>
          </w:p>
        </w:tc>
        <w:tc>
          <w:tcPr>
            <w:tcW w:w="4678" w:type="dxa"/>
          </w:tcPr>
          <w:p w:rsidR="00D1300B" w:rsidRPr="00010B75" w:rsidRDefault="00D1300B">
            <w:pPr>
              <w:jc w:val="center"/>
              <w:rPr>
                <w:rFonts w:ascii="Arial" w:hAnsi="Arial" w:cs="Arial"/>
              </w:rPr>
            </w:pPr>
            <w:r w:rsidRPr="00010B75">
              <w:rPr>
                <w:rFonts w:ascii="Arial" w:hAnsi="Arial" w:cs="Arial"/>
              </w:rPr>
              <w:t xml:space="preserve">60 </w:t>
            </w:r>
            <w:r w:rsidR="008F73BE" w:rsidRPr="00010B75">
              <w:rPr>
                <w:rFonts w:ascii="Arial" w:hAnsi="Arial" w:cs="Arial"/>
              </w:rPr>
              <w:t>–</w:t>
            </w:r>
            <w:r w:rsidRPr="00010B75">
              <w:rPr>
                <w:rFonts w:ascii="Arial" w:hAnsi="Arial" w:cs="Arial"/>
              </w:rPr>
              <w:t xml:space="preserve"> 69%</w:t>
            </w:r>
          </w:p>
        </w:tc>
        <w:tc>
          <w:tcPr>
            <w:tcW w:w="1802" w:type="dxa"/>
          </w:tcPr>
          <w:p w:rsidR="00D1300B" w:rsidRPr="00010B75" w:rsidRDefault="00D1300B">
            <w:pPr>
              <w:jc w:val="center"/>
              <w:rPr>
                <w:rFonts w:ascii="Arial" w:hAnsi="Arial" w:cs="Arial"/>
              </w:rPr>
            </w:pPr>
            <w:r w:rsidRPr="00010B75">
              <w:rPr>
                <w:rFonts w:ascii="Arial" w:hAnsi="Arial" w:cs="Arial"/>
              </w:rPr>
              <w:t>2.00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D</w:t>
            </w:r>
          </w:p>
        </w:tc>
        <w:tc>
          <w:tcPr>
            <w:tcW w:w="4678" w:type="dxa"/>
          </w:tcPr>
          <w:p w:rsidR="00D1300B" w:rsidRPr="00010B75" w:rsidRDefault="00D1300B">
            <w:pPr>
              <w:jc w:val="center"/>
              <w:rPr>
                <w:rFonts w:ascii="Arial" w:hAnsi="Arial" w:cs="Arial"/>
              </w:rPr>
            </w:pPr>
            <w:r w:rsidRPr="00010B75">
              <w:rPr>
                <w:rFonts w:ascii="Arial" w:hAnsi="Arial" w:cs="Arial"/>
              </w:rPr>
              <w:t>50 – 59%</w:t>
            </w:r>
          </w:p>
        </w:tc>
        <w:tc>
          <w:tcPr>
            <w:tcW w:w="1802" w:type="dxa"/>
          </w:tcPr>
          <w:p w:rsidR="00D1300B" w:rsidRPr="00010B75" w:rsidRDefault="00D1300B">
            <w:pPr>
              <w:jc w:val="center"/>
              <w:rPr>
                <w:rFonts w:ascii="Arial" w:hAnsi="Arial" w:cs="Arial"/>
              </w:rPr>
            </w:pPr>
            <w:r w:rsidRPr="00010B75">
              <w:rPr>
                <w:rFonts w:ascii="Arial" w:hAnsi="Arial" w:cs="Arial"/>
              </w:rPr>
              <w:t>1.00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F (Fail)</w:t>
            </w:r>
          </w:p>
        </w:tc>
        <w:tc>
          <w:tcPr>
            <w:tcW w:w="4678" w:type="dxa"/>
          </w:tcPr>
          <w:p w:rsidR="00D1300B" w:rsidRPr="00010B75" w:rsidRDefault="00D1300B">
            <w:pPr>
              <w:jc w:val="center"/>
              <w:rPr>
                <w:rFonts w:ascii="Arial" w:hAnsi="Arial" w:cs="Arial"/>
              </w:rPr>
            </w:pPr>
            <w:r w:rsidRPr="00010B75">
              <w:rPr>
                <w:rFonts w:ascii="Arial" w:hAnsi="Arial" w:cs="Arial"/>
              </w:rPr>
              <w:t>49% and below</w:t>
            </w:r>
          </w:p>
        </w:tc>
        <w:tc>
          <w:tcPr>
            <w:tcW w:w="1802" w:type="dxa"/>
          </w:tcPr>
          <w:p w:rsidR="00D1300B" w:rsidRPr="00010B75" w:rsidRDefault="00D1300B">
            <w:pPr>
              <w:jc w:val="center"/>
              <w:rPr>
                <w:rFonts w:ascii="Arial" w:hAnsi="Arial" w:cs="Arial"/>
              </w:rPr>
            </w:pPr>
            <w:r w:rsidRPr="00010B75">
              <w:rPr>
                <w:rFonts w:ascii="Arial" w:hAnsi="Arial" w:cs="Arial"/>
              </w:rPr>
              <w:t>0.00</w:t>
            </w: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p>
        </w:tc>
        <w:tc>
          <w:tcPr>
            <w:tcW w:w="4678" w:type="dxa"/>
          </w:tcPr>
          <w:p w:rsidR="00D1300B" w:rsidRPr="00010B75" w:rsidRDefault="00D1300B">
            <w:pPr>
              <w:rPr>
                <w:rFonts w:ascii="Arial" w:hAnsi="Arial" w:cs="Arial"/>
              </w:rPr>
            </w:pP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CR (Credit)</w:t>
            </w:r>
          </w:p>
        </w:tc>
        <w:tc>
          <w:tcPr>
            <w:tcW w:w="4678" w:type="dxa"/>
          </w:tcPr>
          <w:p w:rsidR="00D1300B" w:rsidRPr="00010B75" w:rsidRDefault="00D1300B">
            <w:pPr>
              <w:rPr>
                <w:rFonts w:ascii="Arial" w:hAnsi="Arial" w:cs="Arial"/>
              </w:rPr>
            </w:pPr>
            <w:r w:rsidRPr="00010B75">
              <w:rPr>
                <w:rFonts w:ascii="Arial" w:hAnsi="Arial" w:cs="Arial"/>
              </w:rPr>
              <w:t>Credit for diploma requirements has been awarded.</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S</w:t>
            </w:r>
          </w:p>
        </w:tc>
        <w:tc>
          <w:tcPr>
            <w:tcW w:w="4678" w:type="dxa"/>
          </w:tcPr>
          <w:p w:rsidR="00D1300B" w:rsidRPr="00010B75" w:rsidRDefault="00D1300B">
            <w:pPr>
              <w:rPr>
                <w:rFonts w:ascii="Arial" w:hAnsi="Arial" w:cs="Arial"/>
              </w:rPr>
            </w:pPr>
            <w:r w:rsidRPr="00010B75">
              <w:rPr>
                <w:rFonts w:ascii="Arial" w:hAnsi="Arial" w:cs="Arial"/>
              </w:rPr>
              <w:t>Satisfactory achievement in field /clinical placement or non-graded subject area.</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U</w:t>
            </w:r>
          </w:p>
        </w:tc>
        <w:tc>
          <w:tcPr>
            <w:tcW w:w="4678" w:type="dxa"/>
          </w:tcPr>
          <w:p w:rsidR="00D1300B" w:rsidRPr="00010B75" w:rsidRDefault="00D1300B">
            <w:pPr>
              <w:rPr>
                <w:rFonts w:ascii="Arial" w:hAnsi="Arial" w:cs="Arial"/>
              </w:rPr>
            </w:pPr>
            <w:r w:rsidRPr="00010B75">
              <w:rPr>
                <w:rFonts w:ascii="Arial" w:hAnsi="Arial" w:cs="Arial"/>
              </w:rPr>
              <w:t>Unsatisfactory achievement in field/clinical placement or non-graded subject area.</w:t>
            </w:r>
          </w:p>
        </w:tc>
        <w:tc>
          <w:tcPr>
            <w:tcW w:w="1802" w:type="dxa"/>
          </w:tcPr>
          <w:p w:rsidR="00D1300B" w:rsidRPr="00010B75" w:rsidRDefault="00D1300B">
            <w:pPr>
              <w:jc w:val="center"/>
              <w:rPr>
                <w:rFonts w:ascii="Arial" w:hAnsi="Arial" w:cs="Arial"/>
              </w:rPr>
            </w:pPr>
          </w:p>
        </w:tc>
      </w:tr>
    </w:tbl>
    <w:p w:rsidR="00010B75" w:rsidRDefault="00010B75">
      <w:r>
        <w:br w:type="page"/>
      </w:r>
    </w:p>
    <w:tbl>
      <w:tblPr>
        <w:tblW w:w="0" w:type="auto"/>
        <w:tblLayout w:type="fixed"/>
        <w:tblLook w:val="0000"/>
      </w:tblPr>
      <w:tblGrid>
        <w:gridCol w:w="675"/>
        <w:gridCol w:w="1701"/>
        <w:gridCol w:w="4678"/>
        <w:gridCol w:w="1802"/>
      </w:tblGrid>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X</w:t>
            </w:r>
          </w:p>
        </w:tc>
        <w:tc>
          <w:tcPr>
            <w:tcW w:w="4678" w:type="dxa"/>
          </w:tcPr>
          <w:p w:rsidR="00D1300B" w:rsidRPr="00010B75" w:rsidRDefault="00D1300B">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NR</w:t>
            </w:r>
          </w:p>
        </w:tc>
        <w:tc>
          <w:tcPr>
            <w:tcW w:w="4678" w:type="dxa"/>
          </w:tcPr>
          <w:p w:rsidR="00D1300B" w:rsidRPr="00010B75" w:rsidRDefault="00D1300B">
            <w:pPr>
              <w:rPr>
                <w:rFonts w:ascii="Arial" w:hAnsi="Arial" w:cs="Arial"/>
              </w:rPr>
            </w:pPr>
            <w:r w:rsidRPr="00010B75">
              <w:rPr>
                <w:rFonts w:ascii="Arial" w:hAnsi="Arial" w:cs="Arial"/>
              </w:rPr>
              <w:t xml:space="preserve">Grade not reported to Registrar's office.  </w:t>
            </w:r>
          </w:p>
        </w:tc>
        <w:tc>
          <w:tcPr>
            <w:tcW w:w="1802" w:type="dxa"/>
          </w:tcPr>
          <w:p w:rsidR="00D1300B" w:rsidRPr="00010B75" w:rsidRDefault="00D1300B">
            <w:pPr>
              <w:jc w:val="cente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1701" w:type="dxa"/>
          </w:tcPr>
          <w:p w:rsidR="00D1300B" w:rsidRPr="00010B75" w:rsidRDefault="00D1300B">
            <w:pPr>
              <w:rPr>
                <w:rFonts w:ascii="Arial" w:hAnsi="Arial" w:cs="Arial"/>
              </w:rPr>
            </w:pPr>
            <w:r w:rsidRPr="00010B75">
              <w:rPr>
                <w:rFonts w:ascii="Arial" w:hAnsi="Arial" w:cs="Arial"/>
              </w:rPr>
              <w:t>W</w:t>
            </w:r>
          </w:p>
        </w:tc>
        <w:tc>
          <w:tcPr>
            <w:tcW w:w="4678" w:type="dxa"/>
          </w:tcPr>
          <w:p w:rsidR="00D1300B" w:rsidRPr="00010B75" w:rsidRDefault="00D1300B">
            <w:pPr>
              <w:rPr>
                <w:rFonts w:ascii="Arial" w:hAnsi="Arial" w:cs="Arial"/>
              </w:rPr>
            </w:pPr>
            <w:r w:rsidRPr="00010B75">
              <w:rPr>
                <w:rFonts w:ascii="Arial" w:hAnsi="Arial" w:cs="Arial"/>
              </w:rPr>
              <w:t>Student has withdrawn from the course without academic penalty.</w:t>
            </w:r>
          </w:p>
        </w:tc>
        <w:tc>
          <w:tcPr>
            <w:tcW w:w="1802" w:type="dxa"/>
          </w:tcPr>
          <w:p w:rsidR="00D1300B" w:rsidRPr="00010B75" w:rsidRDefault="00D1300B">
            <w:pPr>
              <w:jc w:val="center"/>
              <w:rPr>
                <w:rFonts w:ascii="Arial" w:hAnsi="Arial" w:cs="Arial"/>
              </w:rPr>
            </w:pPr>
          </w:p>
        </w:tc>
      </w:tr>
      <w:tr w:rsidR="00567C5D" w:rsidRPr="00010B75" w:rsidTr="00567C5D">
        <w:tc>
          <w:tcPr>
            <w:tcW w:w="675" w:type="dxa"/>
          </w:tcPr>
          <w:p w:rsidR="00567C5D" w:rsidRPr="00010B75" w:rsidRDefault="00567C5D">
            <w:pPr>
              <w:rPr>
                <w:rFonts w:ascii="Arial" w:hAnsi="Arial" w:cs="Arial"/>
              </w:rPr>
            </w:pPr>
          </w:p>
        </w:tc>
        <w:tc>
          <w:tcPr>
            <w:tcW w:w="8181" w:type="dxa"/>
            <w:gridSpan w:val="3"/>
          </w:tcPr>
          <w:p w:rsidR="00567C5D" w:rsidRDefault="00567C5D" w:rsidP="006C546D">
            <w:pPr>
              <w:pStyle w:val="PlainText"/>
              <w:rPr>
                <w:rFonts w:ascii="Arial" w:hAnsi="Arial" w:cs="Arial"/>
                <w:b/>
                <w:sz w:val="22"/>
                <w:szCs w:val="22"/>
              </w:rPr>
            </w:pPr>
          </w:p>
          <w:p w:rsidR="00567C5D" w:rsidRPr="00010B75" w:rsidRDefault="00567C5D" w:rsidP="00567C5D">
            <w:pPr>
              <w:rPr>
                <w:rFonts w:ascii="Arial" w:hAnsi="Arial" w:cs="Arial"/>
              </w:rPr>
            </w:pPr>
            <w:r w:rsidRPr="006C546D">
              <w:rPr>
                <w:rFonts w:ascii="Arial" w:hAnsi="Arial" w:cs="Arial"/>
                <w:b/>
                <w:sz w:val="22"/>
                <w:szCs w:val="22"/>
              </w:rPr>
              <w:t>NOTE:</w:t>
            </w:r>
            <w:r w:rsidRPr="006C546D">
              <w:rPr>
                <w:rFonts w:ascii="Arial" w:hAnsi="Arial" w:cs="Arial"/>
                <w:sz w:val="22"/>
                <w:szCs w:val="22"/>
              </w:rPr>
              <w:t xml:space="preserve">  Mid Term grades are provided in theory classes and clinical/field placement experiences. Students are notified that the midterm grade is an interim grade and is subject to change.</w:t>
            </w:r>
          </w:p>
        </w:tc>
      </w:tr>
    </w:tbl>
    <w:p w:rsidR="006C546D" w:rsidRDefault="006C546D">
      <w:pPr>
        <w:rPr>
          <w:rFonts w:ascii="Arial" w:hAnsi="Arial" w:cs="Arial"/>
        </w:rPr>
      </w:pPr>
    </w:p>
    <w:p w:rsidR="00567C5D" w:rsidRDefault="00567C5D">
      <w:pPr>
        <w:rPr>
          <w:rFonts w:ascii="Arial" w:hAnsi="Arial" w:cs="Arial"/>
        </w:rPr>
      </w:pPr>
    </w:p>
    <w:tbl>
      <w:tblPr>
        <w:tblW w:w="9468" w:type="dxa"/>
        <w:tblLayout w:type="fixed"/>
        <w:tblLook w:val="0000"/>
      </w:tblPr>
      <w:tblGrid>
        <w:gridCol w:w="675"/>
        <w:gridCol w:w="8181"/>
        <w:gridCol w:w="488"/>
        <w:gridCol w:w="124"/>
      </w:tblGrid>
      <w:tr w:rsidR="006C546D" w:rsidTr="006C546D">
        <w:trPr>
          <w:gridAfter w:val="1"/>
          <w:wAfter w:w="124" w:type="dxa"/>
          <w:cantSplit/>
        </w:trPr>
        <w:tc>
          <w:tcPr>
            <w:tcW w:w="675" w:type="dxa"/>
          </w:tcPr>
          <w:p w:rsidR="006C546D" w:rsidRPr="00FE78F0" w:rsidRDefault="006C546D" w:rsidP="006C546D">
            <w:pPr>
              <w:rPr>
                <w:rFonts w:ascii="Arial" w:hAnsi="Arial" w:cs="Arial"/>
                <w:b/>
                <w:sz w:val="22"/>
              </w:rPr>
            </w:pPr>
            <w:r w:rsidRPr="00FE78F0">
              <w:rPr>
                <w:rFonts w:ascii="Arial" w:hAnsi="Arial" w:cs="Arial"/>
                <w:b/>
                <w:sz w:val="22"/>
              </w:rPr>
              <w:t>VI.</w:t>
            </w:r>
          </w:p>
        </w:tc>
        <w:tc>
          <w:tcPr>
            <w:tcW w:w="8669" w:type="dxa"/>
            <w:gridSpan w:val="2"/>
          </w:tcPr>
          <w:p w:rsidR="006C546D" w:rsidRDefault="006C546D" w:rsidP="006C546D">
            <w:pPr>
              <w:rPr>
                <w:rFonts w:ascii="Arial" w:hAnsi="Arial"/>
                <w:b/>
              </w:rPr>
            </w:pPr>
            <w:r>
              <w:rPr>
                <w:rFonts w:ascii="Arial" w:hAnsi="Arial"/>
                <w:b/>
              </w:rPr>
              <w:t>SPECIAL NOTES:</w:t>
            </w:r>
          </w:p>
          <w:p w:rsidR="006C546D" w:rsidRDefault="006C546D" w:rsidP="006C546D">
            <w:pPr>
              <w:rPr>
                <w:rFonts w:ascii="Arial" w:hAnsi="Arial" w:cs="Arial"/>
                <w:b/>
                <w:bCs/>
                <w:sz w:val="22"/>
              </w:rPr>
            </w:pPr>
          </w:p>
        </w:tc>
      </w:tr>
      <w:tr w:rsidR="006C546D" w:rsidTr="006C546D">
        <w:trPr>
          <w:gridAfter w:val="1"/>
          <w:wAfter w:w="124" w:type="dxa"/>
          <w:cantSplit/>
        </w:trPr>
        <w:tc>
          <w:tcPr>
            <w:tcW w:w="675" w:type="dxa"/>
          </w:tcPr>
          <w:p w:rsidR="006C546D" w:rsidRPr="00FE78F0" w:rsidRDefault="006C546D" w:rsidP="006C546D">
            <w:pPr>
              <w:rPr>
                <w:rFonts w:ascii="Arial" w:hAnsi="Arial" w:cs="Arial"/>
                <w:b/>
                <w:sz w:val="22"/>
              </w:rPr>
            </w:pPr>
          </w:p>
        </w:tc>
        <w:tc>
          <w:tcPr>
            <w:tcW w:w="8669" w:type="dxa"/>
            <w:gridSpan w:val="2"/>
          </w:tcPr>
          <w:p w:rsidR="006C546D" w:rsidRDefault="006C546D" w:rsidP="006C546D">
            <w:pPr>
              <w:rPr>
                <w:rFonts w:ascii="Arial" w:hAnsi="Arial"/>
              </w:rPr>
            </w:pPr>
            <w:r>
              <w:rPr>
                <w:rFonts w:ascii="Arial" w:hAnsi="Arial"/>
                <w:u w:val="single"/>
              </w:rPr>
              <w:t>Course outline amendments</w:t>
            </w:r>
            <w:r>
              <w:rPr>
                <w:rFonts w:ascii="Arial" w:hAnsi="Arial"/>
              </w:rPr>
              <w:t>:</w:t>
            </w:r>
          </w:p>
          <w:p w:rsidR="006C546D" w:rsidRDefault="006C546D" w:rsidP="006C546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C546D" w:rsidRDefault="006C546D" w:rsidP="006C546D">
            <w:pPr>
              <w:rPr>
                <w:rFonts w:ascii="Arial" w:hAnsi="Arial"/>
              </w:rPr>
            </w:pPr>
          </w:p>
          <w:p w:rsidR="006C546D" w:rsidRDefault="006C546D" w:rsidP="006C546D">
            <w:pPr>
              <w:rPr>
                <w:rFonts w:ascii="Arial" w:hAnsi="Arial"/>
              </w:rPr>
            </w:pPr>
            <w:r>
              <w:rPr>
                <w:rFonts w:ascii="Arial" w:hAnsi="Arial"/>
                <w:u w:val="single"/>
              </w:rPr>
              <w:t>Retention of course outlines</w:t>
            </w:r>
            <w:r>
              <w:rPr>
                <w:rFonts w:ascii="Arial" w:hAnsi="Arial"/>
              </w:rPr>
              <w:t>:</w:t>
            </w:r>
          </w:p>
          <w:p w:rsidR="006C546D" w:rsidRDefault="006C546D" w:rsidP="006C546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C546D" w:rsidRDefault="006C546D" w:rsidP="006C546D">
            <w:pPr>
              <w:rPr>
                <w:rFonts w:ascii="Arial" w:hAnsi="Arial"/>
              </w:rPr>
            </w:pPr>
          </w:p>
          <w:p w:rsidR="006C546D" w:rsidRPr="00FE78F0" w:rsidRDefault="006C546D" w:rsidP="006C546D">
            <w:pPr>
              <w:rPr>
                <w:rFonts w:ascii="Arial" w:hAnsi="Arial"/>
                <w:b/>
              </w:rPr>
            </w:pPr>
            <w:r w:rsidRPr="00FE78F0">
              <w:rPr>
                <w:rFonts w:ascii="Arial" w:hAnsi="Arial"/>
                <w:u w:val="single"/>
              </w:rPr>
              <w:t>Prior Learning Assessment</w:t>
            </w:r>
            <w:r w:rsidRPr="00FE78F0">
              <w:rPr>
                <w:rFonts w:ascii="Arial" w:hAnsi="Arial"/>
                <w:b/>
              </w:rPr>
              <w:t>:</w:t>
            </w:r>
          </w:p>
          <w:p w:rsidR="006C546D" w:rsidRPr="00FE78F0" w:rsidRDefault="006C546D" w:rsidP="006C546D">
            <w:pPr>
              <w:rPr>
                <w:rFonts w:ascii="Arial" w:hAnsi="Arial" w:cs="Arial"/>
                <w:sz w:val="22"/>
                <w:szCs w:val="22"/>
              </w:rPr>
            </w:pPr>
            <w:r w:rsidRPr="00FE78F0">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FE78F0">
              <w:rPr>
                <w:rFonts w:ascii="Arial" w:hAnsi="Arial" w:cs="Arial"/>
                <w:sz w:val="22"/>
                <w:szCs w:val="22"/>
              </w:rPr>
              <w:t>Please refer to the Student Academic Calendar of Events for the deadline date by which application must be made for advance standing.</w:t>
            </w:r>
          </w:p>
          <w:p w:rsidR="006C546D" w:rsidRPr="00FE78F0" w:rsidRDefault="006C546D" w:rsidP="006C546D">
            <w:pPr>
              <w:rPr>
                <w:rFonts w:ascii="Arial" w:hAnsi="Arial"/>
              </w:rPr>
            </w:pPr>
          </w:p>
          <w:p w:rsidR="006C546D" w:rsidRPr="00FE78F0" w:rsidRDefault="006C546D" w:rsidP="006C546D">
            <w:pPr>
              <w:rPr>
                <w:rFonts w:ascii="Arial" w:hAnsi="Arial"/>
              </w:rPr>
            </w:pPr>
            <w:r w:rsidRPr="00FE78F0">
              <w:rPr>
                <w:rFonts w:ascii="Arial" w:hAnsi="Arial"/>
              </w:rPr>
              <w:t>Credit for prior learning will also be given upon successful completion of a challenge exam or portfolio.</w:t>
            </w:r>
          </w:p>
          <w:p w:rsidR="006C546D" w:rsidRPr="00FE78F0" w:rsidRDefault="006C546D" w:rsidP="006C546D">
            <w:pPr>
              <w:rPr>
                <w:rFonts w:ascii="Arial" w:hAnsi="Arial"/>
              </w:rPr>
            </w:pPr>
          </w:p>
          <w:p w:rsidR="006C546D" w:rsidRPr="00FE78F0" w:rsidRDefault="006C546D" w:rsidP="006C546D">
            <w:pPr>
              <w:rPr>
                <w:rFonts w:ascii="Arial" w:hAnsi="Arial"/>
              </w:rPr>
            </w:pPr>
            <w:r w:rsidRPr="00FE78F0">
              <w:rPr>
                <w:rFonts w:ascii="Arial" w:hAnsi="Arial"/>
              </w:rPr>
              <w:t>Substitute course information is available in the Registrar's office.</w:t>
            </w:r>
          </w:p>
          <w:p w:rsidR="006C546D" w:rsidRDefault="006C546D" w:rsidP="006C546D">
            <w:pPr>
              <w:rPr>
                <w:rFonts w:ascii="Arial" w:hAnsi="Arial"/>
                <w:u w:val="single"/>
              </w:rPr>
            </w:pPr>
          </w:p>
          <w:p w:rsidR="006C546D" w:rsidRPr="001B12D2" w:rsidRDefault="006C546D" w:rsidP="006C546D">
            <w:pPr>
              <w:rPr>
                <w:rFonts w:ascii="Arial" w:hAnsi="Arial"/>
              </w:rPr>
            </w:pPr>
            <w:r w:rsidRPr="001B12D2">
              <w:rPr>
                <w:rFonts w:ascii="Arial" w:hAnsi="Arial"/>
                <w:u w:val="single"/>
              </w:rPr>
              <w:t>Disability Services</w:t>
            </w:r>
            <w:r w:rsidRPr="001B12D2">
              <w:rPr>
                <w:rFonts w:ascii="Arial" w:hAnsi="Arial"/>
              </w:rPr>
              <w:t>:</w:t>
            </w:r>
          </w:p>
          <w:p w:rsidR="006C546D" w:rsidRDefault="006C546D" w:rsidP="006C546D">
            <w:pPr>
              <w:rPr>
                <w:rFonts w:ascii="Arial" w:hAnsi="Arial"/>
                <w:u w:val="single"/>
              </w:rPr>
            </w:pPr>
            <w:r w:rsidRPr="001B12D2">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C546D" w:rsidRDefault="006C546D" w:rsidP="006C546D">
            <w:pPr>
              <w:rPr>
                <w:rFonts w:ascii="Arial" w:hAnsi="Arial"/>
                <w:b/>
              </w:rPr>
            </w:pPr>
          </w:p>
        </w:tc>
      </w:tr>
      <w:tr w:rsidR="006C546D" w:rsidTr="006C546D">
        <w:trPr>
          <w:gridAfter w:val="1"/>
          <w:wAfter w:w="124" w:type="dxa"/>
          <w:cantSplit/>
        </w:trPr>
        <w:tc>
          <w:tcPr>
            <w:tcW w:w="675" w:type="dxa"/>
          </w:tcPr>
          <w:p w:rsidR="006C546D" w:rsidRPr="00FE78F0" w:rsidRDefault="006C546D" w:rsidP="006C546D">
            <w:pPr>
              <w:rPr>
                <w:rFonts w:ascii="Arial" w:hAnsi="Arial" w:cs="Arial"/>
                <w:b/>
                <w:sz w:val="22"/>
              </w:rPr>
            </w:pPr>
          </w:p>
        </w:tc>
        <w:tc>
          <w:tcPr>
            <w:tcW w:w="8669" w:type="dxa"/>
            <w:gridSpan w:val="2"/>
          </w:tcPr>
          <w:p w:rsidR="006C546D" w:rsidRPr="001B12D2" w:rsidRDefault="006C546D" w:rsidP="006C546D">
            <w:pPr>
              <w:rPr>
                <w:rFonts w:ascii="Arial" w:hAnsi="Arial"/>
                <w:u w:val="single"/>
              </w:rPr>
            </w:pPr>
            <w:r w:rsidRPr="001B12D2">
              <w:rPr>
                <w:rFonts w:ascii="Arial" w:hAnsi="Arial"/>
                <w:u w:val="single"/>
              </w:rPr>
              <w:t>Communication:</w:t>
            </w:r>
          </w:p>
          <w:p w:rsidR="006C546D" w:rsidRDefault="006C546D" w:rsidP="006C546D">
            <w:pPr>
              <w:rPr>
                <w:rFonts w:ascii="Arial" w:hAnsi="Arial"/>
                <w:u w:val="single"/>
              </w:rPr>
            </w:pPr>
            <w:r w:rsidRPr="001B12D2">
              <w:rPr>
                <w:rFonts w:ascii="Arial" w:hAnsi="Arial" w:cs="Arial"/>
                <w:szCs w:val="24"/>
                <w:lang w:val="en-CA" w:eastAsia="en-CA"/>
              </w:rPr>
              <w:t xml:space="preserve">The College considers </w:t>
            </w:r>
            <w:proofErr w:type="spellStart"/>
            <w:r w:rsidRPr="001B12D2">
              <w:rPr>
                <w:rFonts w:ascii="Arial" w:hAnsi="Arial" w:cs="Arial"/>
                <w:b/>
                <w:bCs/>
                <w:i/>
                <w:iCs/>
                <w:szCs w:val="24"/>
                <w:lang w:val="en-CA" w:eastAsia="en-CA"/>
              </w:rPr>
              <w:t>WebCT</w:t>
            </w:r>
            <w:proofErr w:type="spellEnd"/>
            <w:r w:rsidRPr="001B12D2">
              <w:rPr>
                <w:rFonts w:ascii="Arial" w:hAnsi="Arial" w:cs="Arial"/>
                <w:b/>
                <w:bCs/>
                <w:i/>
                <w:iCs/>
                <w:szCs w:val="24"/>
                <w:lang w:val="en-CA" w:eastAsia="en-CA"/>
              </w:rPr>
              <w:t>/</w:t>
            </w:r>
            <w:proofErr w:type="spellStart"/>
            <w:r w:rsidRPr="001B12D2">
              <w:rPr>
                <w:rFonts w:ascii="Arial" w:hAnsi="Arial" w:cs="Arial"/>
                <w:b/>
                <w:bCs/>
                <w:i/>
                <w:iCs/>
                <w:szCs w:val="24"/>
                <w:lang w:val="en-CA" w:eastAsia="en-CA"/>
              </w:rPr>
              <w:t>LMS</w:t>
            </w:r>
            <w:proofErr w:type="spellEnd"/>
            <w:r w:rsidRPr="001B12D2">
              <w:rPr>
                <w:rFonts w:ascii="Arial" w:hAnsi="Arial" w:cs="Arial"/>
                <w:b/>
                <w:bCs/>
                <w:i/>
                <w:iCs/>
                <w:szCs w:val="24"/>
                <w:lang w:val="en-CA" w:eastAsia="en-CA"/>
              </w:rPr>
              <w:t> </w:t>
            </w:r>
            <w:r w:rsidRPr="001B12D2">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B12D2">
              <w:rPr>
                <w:rFonts w:ascii="Arial" w:hAnsi="Arial" w:cs="Arial"/>
                <w:b/>
                <w:bCs/>
                <w:i/>
                <w:iCs/>
                <w:szCs w:val="24"/>
                <w:lang w:val="en-CA" w:eastAsia="en-CA"/>
              </w:rPr>
              <w:t>Learning Management System</w:t>
            </w:r>
            <w:r w:rsidRPr="001B12D2">
              <w:rPr>
                <w:rFonts w:ascii="Arial" w:hAnsi="Arial" w:cs="Arial"/>
                <w:szCs w:val="24"/>
                <w:lang w:val="en-CA" w:eastAsia="en-CA"/>
              </w:rPr>
              <w:t xml:space="preserve"> communication tool</w:t>
            </w:r>
            <w:r w:rsidRPr="001B12D2">
              <w:rPr>
                <w:rFonts w:ascii="Arial" w:hAnsi="Arial" w:cs="Arial"/>
                <w:color w:val="0000FF"/>
                <w:sz w:val="20"/>
                <w:lang w:val="en-CA" w:eastAsia="en-CA"/>
              </w:rPr>
              <w:t>.</w:t>
            </w:r>
          </w:p>
        </w:tc>
      </w:tr>
      <w:tr w:rsidR="006C546D" w:rsidRPr="001B12D2" w:rsidTr="006C546D">
        <w:trPr>
          <w:gridAfter w:val="1"/>
          <w:wAfter w:w="124" w:type="dxa"/>
          <w:cantSplit/>
        </w:trPr>
        <w:tc>
          <w:tcPr>
            <w:tcW w:w="675" w:type="dxa"/>
          </w:tcPr>
          <w:p w:rsidR="006C546D" w:rsidRPr="00FE78F0" w:rsidRDefault="006C546D" w:rsidP="006C546D">
            <w:pPr>
              <w:rPr>
                <w:rFonts w:ascii="Arial" w:hAnsi="Arial" w:cs="Arial"/>
                <w:b/>
                <w:sz w:val="22"/>
              </w:rPr>
            </w:pPr>
          </w:p>
        </w:tc>
        <w:tc>
          <w:tcPr>
            <w:tcW w:w="8669" w:type="dxa"/>
            <w:gridSpan w:val="2"/>
          </w:tcPr>
          <w:p w:rsidR="006C546D" w:rsidRPr="001B12D2" w:rsidRDefault="006C546D" w:rsidP="006C546D">
            <w:pPr>
              <w:rPr>
                <w:rFonts w:ascii="Arial" w:hAnsi="Arial"/>
                <w:u w:val="single"/>
              </w:rPr>
            </w:pPr>
          </w:p>
        </w:tc>
      </w:tr>
      <w:tr w:rsidR="006C546D" w:rsidTr="006C546D">
        <w:trPr>
          <w:cantSplit/>
          <w:trHeight w:val="4307"/>
        </w:trPr>
        <w:tc>
          <w:tcPr>
            <w:tcW w:w="675" w:type="dxa"/>
          </w:tcPr>
          <w:p w:rsidR="006C546D" w:rsidRDefault="006C546D" w:rsidP="006C546D">
            <w:pPr>
              <w:rPr>
                <w:rFonts w:ascii="Arial" w:hAnsi="Arial"/>
                <w:b/>
              </w:rPr>
            </w:pPr>
          </w:p>
        </w:tc>
        <w:tc>
          <w:tcPr>
            <w:tcW w:w="8793" w:type="dxa"/>
            <w:gridSpan w:val="3"/>
          </w:tcPr>
          <w:p w:rsidR="006C546D" w:rsidRPr="001B12D2" w:rsidRDefault="006C546D" w:rsidP="006C546D">
            <w:pPr>
              <w:rPr>
                <w:rFonts w:ascii="Arial" w:hAnsi="Arial"/>
              </w:rPr>
            </w:pPr>
            <w:r w:rsidRPr="001B12D2">
              <w:rPr>
                <w:rFonts w:ascii="Arial" w:hAnsi="Arial"/>
                <w:u w:val="single"/>
              </w:rPr>
              <w:t>Plagiarism</w:t>
            </w:r>
            <w:r w:rsidRPr="001B12D2">
              <w:rPr>
                <w:rFonts w:ascii="Arial" w:hAnsi="Arial"/>
              </w:rPr>
              <w:t>:</w:t>
            </w:r>
          </w:p>
          <w:p w:rsidR="006C546D" w:rsidRPr="001B12D2" w:rsidRDefault="006C546D" w:rsidP="006C546D">
            <w:pPr>
              <w:pStyle w:val="Default"/>
            </w:pPr>
            <w:r w:rsidRPr="001B12D2">
              <w:t xml:space="preserve">Students should refer to the definition of “academic dishonesty” in </w:t>
            </w:r>
            <w:r w:rsidRPr="001B12D2">
              <w:rPr>
                <w:i/>
              </w:rPr>
              <w:t>Student Code of Conduct</w:t>
            </w:r>
            <w:r w:rsidRPr="001B12D2">
              <w:t>.  A professor/instructor may assign a sanction as defined below, or make recommendations to the Academic Chair for disposition of the matter. The professor/instructor may:</w:t>
            </w:r>
          </w:p>
          <w:p w:rsidR="006C546D" w:rsidRPr="001B12D2" w:rsidRDefault="006C546D" w:rsidP="006C546D">
            <w:pPr>
              <w:pStyle w:val="Default"/>
              <w:numPr>
                <w:ilvl w:val="0"/>
                <w:numId w:val="19"/>
              </w:numPr>
            </w:pPr>
            <w:r w:rsidRPr="001B12D2">
              <w:t xml:space="preserve">issue a verbal reprimand, </w:t>
            </w:r>
          </w:p>
          <w:p w:rsidR="006C546D" w:rsidRPr="001B12D2" w:rsidRDefault="006C546D" w:rsidP="006C546D">
            <w:pPr>
              <w:pStyle w:val="Default"/>
              <w:numPr>
                <w:ilvl w:val="0"/>
                <w:numId w:val="19"/>
              </w:numPr>
            </w:pPr>
            <w:r w:rsidRPr="001B12D2">
              <w:t xml:space="preserve">make an assignment of a lower grade with explanation, </w:t>
            </w:r>
          </w:p>
          <w:p w:rsidR="006C546D" w:rsidRPr="001B12D2" w:rsidRDefault="006C546D" w:rsidP="006C546D">
            <w:pPr>
              <w:pStyle w:val="Default"/>
              <w:numPr>
                <w:ilvl w:val="0"/>
                <w:numId w:val="19"/>
              </w:numPr>
            </w:pPr>
            <w:r w:rsidRPr="001B12D2">
              <w:t xml:space="preserve">require additional academic assignments and issue a lower grade upon completion to the maximum grade “C”, </w:t>
            </w:r>
          </w:p>
          <w:p w:rsidR="006C546D" w:rsidRPr="001B12D2" w:rsidRDefault="006C546D" w:rsidP="006C546D">
            <w:pPr>
              <w:pStyle w:val="Default"/>
              <w:numPr>
                <w:ilvl w:val="0"/>
                <w:numId w:val="19"/>
              </w:numPr>
            </w:pPr>
            <w:r w:rsidRPr="001B12D2">
              <w:t xml:space="preserve">make an automatic assignment of a failing grade, </w:t>
            </w:r>
          </w:p>
          <w:p w:rsidR="006C546D" w:rsidRPr="001B12D2" w:rsidRDefault="006C546D" w:rsidP="006C546D">
            <w:pPr>
              <w:pStyle w:val="Default"/>
              <w:numPr>
                <w:ilvl w:val="0"/>
                <w:numId w:val="19"/>
              </w:numPr>
            </w:pPr>
            <w:proofErr w:type="gramStart"/>
            <w:r w:rsidRPr="001B12D2">
              <w:t>recommend</w:t>
            </w:r>
            <w:proofErr w:type="gramEnd"/>
            <w:r w:rsidRPr="001B12D2">
              <w:t xml:space="preserve"> to the Chair dismissal from the course with the assignment of a failing grade. </w:t>
            </w:r>
          </w:p>
          <w:p w:rsidR="006C546D" w:rsidRDefault="006C546D" w:rsidP="006C546D">
            <w:pPr>
              <w:pStyle w:val="Default"/>
            </w:pPr>
            <w:r w:rsidRPr="001B12D2">
              <w:t>In order to protect students from inadvertent plagiarism, to protect the copyright of the material referenced, and to credit the author of the material, it is the policy of the department to employ a documentation format for referencing source material.</w:t>
            </w:r>
          </w:p>
        </w:tc>
      </w:tr>
      <w:tr w:rsidR="006C546D" w:rsidTr="006C546D">
        <w:trPr>
          <w:cantSplit/>
        </w:trPr>
        <w:tc>
          <w:tcPr>
            <w:tcW w:w="675" w:type="dxa"/>
          </w:tcPr>
          <w:p w:rsidR="006C546D" w:rsidRDefault="006C546D" w:rsidP="006C546D">
            <w:pPr>
              <w:rPr>
                <w:rFonts w:ascii="Arial" w:hAnsi="Arial"/>
              </w:rPr>
            </w:pPr>
          </w:p>
        </w:tc>
        <w:tc>
          <w:tcPr>
            <w:tcW w:w="8793" w:type="dxa"/>
            <w:gridSpan w:val="3"/>
          </w:tcPr>
          <w:p w:rsidR="006C546D" w:rsidRDefault="006C546D" w:rsidP="006C546D">
            <w:pPr>
              <w:pStyle w:val="Default"/>
            </w:pPr>
          </w:p>
        </w:tc>
      </w:tr>
      <w:tr w:rsidR="006C546D" w:rsidTr="006C546D">
        <w:trPr>
          <w:cantSplit/>
        </w:trPr>
        <w:tc>
          <w:tcPr>
            <w:tcW w:w="675" w:type="dxa"/>
          </w:tcPr>
          <w:p w:rsidR="006C546D" w:rsidRDefault="006C546D" w:rsidP="006C546D">
            <w:pPr>
              <w:rPr>
                <w:rFonts w:ascii="Arial" w:hAnsi="Arial"/>
              </w:rPr>
            </w:pPr>
          </w:p>
        </w:tc>
        <w:tc>
          <w:tcPr>
            <w:tcW w:w="8793" w:type="dxa"/>
            <w:gridSpan w:val="3"/>
          </w:tcPr>
          <w:p w:rsidR="006C546D" w:rsidRPr="001B12D2" w:rsidRDefault="006C546D" w:rsidP="006C546D">
            <w:pPr>
              <w:rPr>
                <w:rFonts w:ascii="Arial" w:hAnsi="Arial" w:cs="Arial"/>
                <w:szCs w:val="24"/>
                <w:u w:val="single"/>
              </w:rPr>
            </w:pPr>
            <w:r w:rsidRPr="001B12D2">
              <w:rPr>
                <w:rFonts w:ascii="Arial" w:hAnsi="Arial" w:cs="Arial"/>
                <w:szCs w:val="24"/>
                <w:u w:val="single"/>
              </w:rPr>
              <w:t>Student Portal:</w:t>
            </w:r>
          </w:p>
          <w:p w:rsidR="006C546D" w:rsidRDefault="006C546D" w:rsidP="006C546D">
            <w:pPr>
              <w:pStyle w:val="NormalWeb"/>
              <w:spacing w:before="0" w:beforeAutospacing="0" w:after="0" w:afterAutospacing="0"/>
              <w:rPr>
                <w:rFonts w:ascii="Arial" w:hAnsi="Arial" w:cs="Arial"/>
              </w:rPr>
            </w:pPr>
            <w:r w:rsidRPr="001B12D2">
              <w:rPr>
                <w:rFonts w:ascii="Arial" w:hAnsi="Arial" w:cs="Arial"/>
              </w:rPr>
              <w:t xml:space="preserve">The Sault College portal allows you to view all your student information in one place. </w:t>
            </w:r>
            <w:proofErr w:type="spellStart"/>
            <w:proofErr w:type="gramStart"/>
            <w:r w:rsidRPr="001B12D2">
              <w:rPr>
                <w:rFonts w:ascii="Arial" w:hAnsi="Arial" w:cs="Arial"/>
                <w:b/>
              </w:rPr>
              <w:t>mysaultcollege</w:t>
            </w:r>
            <w:proofErr w:type="spellEnd"/>
            <w:proofErr w:type="gramEnd"/>
            <w:r w:rsidRPr="001B12D2">
              <w:rPr>
                <w:rFonts w:ascii="Arial" w:hAnsi="Arial" w:cs="Arial"/>
                <w:b/>
              </w:rPr>
              <w:t xml:space="preserve"> </w:t>
            </w:r>
            <w:r w:rsidRPr="001B12D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1B12D2">
              <w:rPr>
                <w:rFonts w:ascii="Arial" w:hAnsi="Arial" w:cs="Arial"/>
              </w:rPr>
              <w:t>records</w:t>
            </w:r>
            <w:proofErr w:type="gramEnd"/>
            <w:r w:rsidRPr="001B12D2">
              <w:rPr>
                <w:rFonts w:ascii="Arial" w:hAnsi="Arial" w:cs="Arial"/>
              </w:rPr>
              <w:t xml:space="preserve"> of achievement, unofficial transcript, and outstanding obligations.  Announcements, news, the academic calendar of events, class cancellations, your learning management system (LMS), and much more are also accessible through the student portal.  Go to </w:t>
            </w:r>
            <w:hyperlink r:id="rId8" w:history="1">
              <w:r w:rsidRPr="001B12D2">
                <w:rPr>
                  <w:rStyle w:val="Hyperlink"/>
                  <w:rFonts w:ascii="Arial" w:hAnsi="Arial" w:cs="Arial"/>
                </w:rPr>
                <w:t>https://my.saultcollege.ca</w:t>
              </w:r>
            </w:hyperlink>
            <w:r w:rsidRPr="001B12D2">
              <w:rPr>
                <w:rFonts w:ascii="Arial" w:hAnsi="Arial" w:cs="Arial"/>
              </w:rPr>
              <w:t>.</w:t>
            </w:r>
          </w:p>
          <w:p w:rsidR="006C546D" w:rsidRDefault="006C546D" w:rsidP="006C546D">
            <w:pPr>
              <w:pStyle w:val="NormalWeb"/>
              <w:spacing w:before="0" w:beforeAutospacing="0" w:after="0" w:afterAutospacing="0"/>
              <w:rPr>
                <w:rFonts w:ascii="Arial" w:hAnsi="Arial"/>
              </w:rPr>
            </w:pPr>
          </w:p>
        </w:tc>
      </w:tr>
      <w:tr w:rsidR="00567C5D" w:rsidTr="006C546D">
        <w:trPr>
          <w:cantSplit/>
        </w:trPr>
        <w:tc>
          <w:tcPr>
            <w:tcW w:w="675" w:type="dxa"/>
          </w:tcPr>
          <w:p w:rsidR="00567C5D" w:rsidRDefault="00567C5D" w:rsidP="006C546D">
            <w:pPr>
              <w:rPr>
                <w:rFonts w:ascii="Arial" w:hAnsi="Arial"/>
              </w:rPr>
            </w:pPr>
          </w:p>
        </w:tc>
        <w:tc>
          <w:tcPr>
            <w:tcW w:w="8793" w:type="dxa"/>
            <w:gridSpan w:val="3"/>
            <w:vMerge w:val="restart"/>
          </w:tcPr>
          <w:p w:rsidR="00567C5D" w:rsidRPr="00B33DE2" w:rsidRDefault="00567C5D" w:rsidP="006C546D">
            <w:pPr>
              <w:rPr>
                <w:rFonts w:ascii="Arial" w:hAnsi="Arial" w:cs="Arial"/>
                <w:szCs w:val="24"/>
                <w:u w:val="single"/>
                <w:lang w:eastAsia="en-CA"/>
              </w:rPr>
            </w:pPr>
            <w:r w:rsidRPr="00B33DE2">
              <w:rPr>
                <w:rFonts w:ascii="Arial" w:hAnsi="Arial" w:cs="Arial"/>
                <w:szCs w:val="24"/>
                <w:u w:val="single"/>
                <w:lang w:eastAsia="en-CA"/>
              </w:rPr>
              <w:t>Electronic Devices in the Classroom:</w:t>
            </w:r>
          </w:p>
          <w:p w:rsidR="00567C5D" w:rsidRDefault="00567C5D" w:rsidP="006C546D">
            <w:pPr>
              <w:rPr>
                <w:rFonts w:ascii="Arial" w:hAnsi="Arial"/>
              </w:rPr>
            </w:pPr>
            <w:r w:rsidRPr="00B33DE2">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w:t>
            </w:r>
          </w:p>
          <w:p w:rsidR="00567C5D" w:rsidRDefault="00567C5D" w:rsidP="006C546D">
            <w:pPr>
              <w:rPr>
                <w:rFonts w:ascii="Arial" w:hAnsi="Arial"/>
              </w:rPr>
            </w:pPr>
            <w:proofErr w:type="gramStart"/>
            <w:r w:rsidRPr="00B33DE2">
              <w:rPr>
                <w:rFonts w:ascii="Arial" w:hAnsi="Arial" w:cs="Arial"/>
                <w:szCs w:val="24"/>
                <w:lang w:eastAsia="en-CA"/>
              </w:rPr>
              <w:t>return</w:t>
            </w:r>
            <w:proofErr w:type="gramEnd"/>
            <w:r w:rsidRPr="00B33DE2">
              <w:rPr>
                <w:rFonts w:ascii="Arial" w:hAnsi="Arial" w:cs="Arial"/>
                <w:szCs w:val="24"/>
                <w:lang w:eastAsia="en-CA"/>
              </w:rPr>
              <w:t xml:space="preserve"> all copies of recorded material to the faculty member by the last day of class in the semester.  </w:t>
            </w:r>
            <w:r w:rsidRPr="00B33DE2">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B33DE2">
              <w:rPr>
                <w:rFonts w:ascii="Arial" w:hAnsi="Arial" w:cs="Arial"/>
                <w:szCs w:val="24"/>
                <w:lang w:eastAsia="en-CA"/>
              </w:rPr>
              <w:t xml:space="preserve"> </w:t>
            </w:r>
          </w:p>
        </w:tc>
      </w:tr>
      <w:tr w:rsidR="00567C5D" w:rsidTr="006C546D">
        <w:trPr>
          <w:cantSplit/>
        </w:trPr>
        <w:tc>
          <w:tcPr>
            <w:tcW w:w="675" w:type="dxa"/>
          </w:tcPr>
          <w:p w:rsidR="00567C5D" w:rsidRDefault="00567C5D" w:rsidP="006C546D">
            <w:pPr>
              <w:rPr>
                <w:rFonts w:ascii="Arial" w:hAnsi="Arial"/>
              </w:rPr>
            </w:pPr>
          </w:p>
        </w:tc>
        <w:tc>
          <w:tcPr>
            <w:tcW w:w="8793" w:type="dxa"/>
            <w:gridSpan w:val="3"/>
            <w:vMerge/>
          </w:tcPr>
          <w:p w:rsidR="00567C5D" w:rsidRPr="00B33DE2" w:rsidRDefault="00567C5D" w:rsidP="006C546D">
            <w:pPr>
              <w:rPr>
                <w:rFonts w:ascii="Arial" w:hAnsi="Arial" w:cs="Arial"/>
                <w:szCs w:val="24"/>
                <w:u w:val="single"/>
                <w:lang w:eastAsia="en-CA"/>
              </w:rPr>
            </w:pPr>
          </w:p>
        </w:tc>
      </w:tr>
      <w:tr w:rsidR="006C546D" w:rsidRPr="00010B75" w:rsidTr="006C546D">
        <w:trPr>
          <w:gridAfter w:val="2"/>
          <w:wAfter w:w="612" w:type="dxa"/>
          <w:cantSplit/>
        </w:trPr>
        <w:tc>
          <w:tcPr>
            <w:tcW w:w="675" w:type="dxa"/>
          </w:tcPr>
          <w:p w:rsidR="006C546D" w:rsidRPr="00010B75" w:rsidRDefault="006C546D">
            <w:pPr>
              <w:rPr>
                <w:rFonts w:ascii="Arial" w:hAnsi="Arial" w:cs="Arial"/>
              </w:rPr>
            </w:pPr>
          </w:p>
        </w:tc>
        <w:tc>
          <w:tcPr>
            <w:tcW w:w="8181" w:type="dxa"/>
          </w:tcPr>
          <w:p w:rsidR="006C546D" w:rsidRPr="003B0169" w:rsidRDefault="006C546D" w:rsidP="006C546D">
            <w:pPr>
              <w:rPr>
                <w:rFonts w:ascii="Arial" w:hAnsi="Arial"/>
                <w:szCs w:val="24"/>
                <w:u w:val="single"/>
              </w:rPr>
            </w:pPr>
            <w:r w:rsidRPr="003B0169">
              <w:rPr>
                <w:rFonts w:ascii="Arial" w:hAnsi="Arial"/>
                <w:szCs w:val="24"/>
                <w:u w:val="single"/>
              </w:rPr>
              <w:t>Attendance:</w:t>
            </w:r>
          </w:p>
          <w:p w:rsidR="006C546D" w:rsidRPr="003B0169" w:rsidRDefault="006C546D" w:rsidP="006C546D">
            <w:pPr>
              <w:rPr>
                <w:rFonts w:ascii="Arial" w:hAnsi="Arial" w:cs="Arial"/>
                <w:szCs w:val="24"/>
              </w:rPr>
            </w:pPr>
            <w:r w:rsidRPr="003B016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C546D" w:rsidRPr="003B0169" w:rsidRDefault="006C546D" w:rsidP="006C546D">
            <w:pPr>
              <w:rPr>
                <w:rFonts w:ascii="Arial" w:hAnsi="Arial"/>
                <w:szCs w:val="24"/>
              </w:rPr>
            </w:pPr>
          </w:p>
          <w:p w:rsidR="006C546D" w:rsidRDefault="006C546D" w:rsidP="006C546D">
            <w:pPr>
              <w:rPr>
                <w:rFonts w:ascii="Arial" w:hAnsi="Arial"/>
                <w:b/>
                <w:szCs w:val="24"/>
              </w:rPr>
            </w:pPr>
            <w:r w:rsidRPr="003B0169">
              <w:rPr>
                <w:rFonts w:ascii="Arial" w:hAnsi="Arial"/>
                <w:szCs w:val="24"/>
              </w:rPr>
              <w:t xml:space="preserve">Significant learning takes place in the classroom through an interactive learning approach; therefore, </w:t>
            </w:r>
            <w:r w:rsidRPr="003B0169">
              <w:rPr>
                <w:rFonts w:ascii="Arial" w:hAnsi="Arial"/>
                <w:b/>
                <w:szCs w:val="24"/>
              </w:rPr>
              <w:t>ALL students must attend 60% of the classes to obtain a passing grade.</w:t>
            </w:r>
          </w:p>
          <w:p w:rsidR="00282364" w:rsidRPr="00282364" w:rsidRDefault="00282364" w:rsidP="006C546D">
            <w:pPr>
              <w:rPr>
                <w:rFonts w:ascii="Arial" w:hAnsi="Arial" w:cs="Arial"/>
                <w:b/>
                <w:szCs w:val="24"/>
              </w:rPr>
            </w:pPr>
          </w:p>
          <w:p w:rsidR="00282364" w:rsidRPr="00282364" w:rsidRDefault="00282364" w:rsidP="00282364">
            <w:pPr>
              <w:rPr>
                <w:rFonts w:ascii="Arial" w:hAnsi="Arial" w:cs="Arial"/>
              </w:rPr>
            </w:pPr>
            <w:r w:rsidRPr="00282364">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82364" w:rsidRDefault="00282364" w:rsidP="006C546D">
            <w:pPr>
              <w:rPr>
                <w:rFonts w:ascii="Arial" w:hAnsi="Arial"/>
                <w:szCs w:val="24"/>
              </w:rPr>
            </w:pPr>
          </w:p>
          <w:p w:rsidR="00960F5B" w:rsidRPr="00960F5B" w:rsidRDefault="00960F5B" w:rsidP="00960F5B">
            <w:pPr>
              <w:rPr>
                <w:rFonts w:ascii="Arial" w:hAnsi="Arial" w:cs="Arial"/>
                <w:szCs w:val="24"/>
                <w:u w:val="single"/>
              </w:rPr>
            </w:pPr>
            <w:r w:rsidRPr="00960F5B">
              <w:rPr>
                <w:rFonts w:ascii="Arial" w:hAnsi="Arial" w:cs="Arial"/>
                <w:szCs w:val="24"/>
                <w:u w:val="single"/>
              </w:rPr>
              <w:t>Classroom Courtesy:</w:t>
            </w:r>
          </w:p>
          <w:p w:rsidR="00960F5B" w:rsidRPr="00960F5B" w:rsidRDefault="00960F5B" w:rsidP="00960F5B">
            <w:pPr>
              <w:rPr>
                <w:rFonts w:ascii="Arial" w:hAnsi="Arial" w:cs="Arial"/>
                <w:szCs w:val="24"/>
              </w:rPr>
            </w:pPr>
            <w:r w:rsidRPr="00960F5B">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960F5B" w:rsidRPr="00960F5B" w:rsidRDefault="00960F5B" w:rsidP="00960F5B">
            <w:pPr>
              <w:rPr>
                <w:rFonts w:ascii="Arial" w:hAnsi="Arial" w:cs="Arial"/>
                <w:szCs w:val="24"/>
              </w:rPr>
            </w:pPr>
          </w:p>
          <w:p w:rsidR="00960F5B" w:rsidRPr="00960F5B" w:rsidRDefault="00960F5B" w:rsidP="00960F5B">
            <w:pPr>
              <w:rPr>
                <w:rFonts w:ascii="Arial" w:hAnsi="Arial" w:cs="Arial"/>
                <w:szCs w:val="24"/>
              </w:rPr>
            </w:pPr>
            <w:r w:rsidRPr="00960F5B">
              <w:rPr>
                <w:rFonts w:ascii="Arial" w:hAnsi="Arial" w:cs="Arial"/>
                <w:szCs w:val="24"/>
              </w:rPr>
              <w:t xml:space="preserve">Late Arrivals:  If late arrivals become a pattern, once the classroom door has been closed, the learning process has begun.  Late arrivers will not be granted admission to the room until the break.  </w:t>
            </w:r>
          </w:p>
          <w:p w:rsidR="00960F5B" w:rsidRPr="003B0169" w:rsidRDefault="00960F5B" w:rsidP="006C546D">
            <w:pPr>
              <w:rPr>
                <w:rFonts w:ascii="Arial" w:hAnsi="Arial"/>
                <w:szCs w:val="24"/>
              </w:rPr>
            </w:pPr>
          </w:p>
        </w:tc>
      </w:tr>
      <w:tr w:rsidR="006C546D" w:rsidRPr="00010B75" w:rsidTr="006C546D">
        <w:trPr>
          <w:gridAfter w:val="2"/>
          <w:wAfter w:w="612" w:type="dxa"/>
          <w:cantSplit/>
        </w:trPr>
        <w:tc>
          <w:tcPr>
            <w:tcW w:w="675" w:type="dxa"/>
          </w:tcPr>
          <w:p w:rsidR="006C546D" w:rsidRPr="00010B75" w:rsidRDefault="006C546D">
            <w:pPr>
              <w:rPr>
                <w:rFonts w:ascii="Arial" w:hAnsi="Arial" w:cs="Arial"/>
              </w:rPr>
            </w:pPr>
          </w:p>
        </w:tc>
        <w:tc>
          <w:tcPr>
            <w:tcW w:w="8181" w:type="dxa"/>
          </w:tcPr>
          <w:p w:rsidR="006C546D" w:rsidRPr="003B0169" w:rsidRDefault="006C546D" w:rsidP="006C546D">
            <w:pPr>
              <w:rPr>
                <w:rFonts w:ascii="Arial" w:hAnsi="Arial"/>
                <w:szCs w:val="24"/>
                <w:u w:val="single"/>
              </w:rPr>
            </w:pPr>
            <w:r w:rsidRPr="003B0169">
              <w:rPr>
                <w:rFonts w:ascii="Arial" w:hAnsi="Arial"/>
                <w:szCs w:val="24"/>
                <w:u w:val="single"/>
              </w:rPr>
              <w:t xml:space="preserve">Submission of Assignments </w:t>
            </w:r>
          </w:p>
          <w:p w:rsidR="006C546D" w:rsidRPr="003B0169" w:rsidRDefault="006C546D" w:rsidP="006C546D">
            <w:pPr>
              <w:rPr>
                <w:rFonts w:ascii="Arial" w:hAnsi="Arial"/>
                <w:szCs w:val="24"/>
              </w:rPr>
            </w:pPr>
            <w:r w:rsidRPr="003B0169">
              <w:rPr>
                <w:rFonts w:ascii="Arial" w:hAnsi="Arial"/>
                <w:szCs w:val="24"/>
              </w:rPr>
              <w:t>ALL assignments are to be handed in on the due date and are to be typewritten. Any late assignments will be penalized 1% per day late and will not be accepted for grading one week after the due date.</w:t>
            </w:r>
          </w:p>
          <w:p w:rsidR="006C546D" w:rsidRPr="003B0169" w:rsidRDefault="006C546D" w:rsidP="006C546D">
            <w:pPr>
              <w:rPr>
                <w:rFonts w:ascii="Arial" w:hAnsi="Arial"/>
                <w:szCs w:val="24"/>
              </w:rPr>
            </w:pPr>
          </w:p>
          <w:p w:rsidR="006C546D" w:rsidRPr="003B0169" w:rsidRDefault="006C546D" w:rsidP="006C546D">
            <w:pPr>
              <w:rPr>
                <w:rFonts w:ascii="Arial" w:hAnsi="Arial"/>
                <w:szCs w:val="24"/>
              </w:rPr>
            </w:pPr>
            <w:r w:rsidRPr="003B0169">
              <w:rPr>
                <w:rFonts w:ascii="Arial" w:hAnsi="Arial"/>
                <w:szCs w:val="24"/>
              </w:rPr>
              <w:t xml:space="preserve">Students must contact the professor prior to the </w:t>
            </w:r>
            <w:r w:rsidRPr="003B0169">
              <w:rPr>
                <w:rFonts w:ascii="Arial" w:hAnsi="Arial"/>
                <w:b/>
                <w:szCs w:val="24"/>
              </w:rPr>
              <w:t>due date</w:t>
            </w:r>
            <w:r w:rsidRPr="003B0169">
              <w:rPr>
                <w:rFonts w:ascii="Arial" w:hAnsi="Arial"/>
                <w:szCs w:val="24"/>
              </w:rPr>
              <w:t xml:space="preserve"> to request consideration for an extension of an individual assignment.  Valid and justifiable circumstances will be considered if granting an extension.  </w:t>
            </w:r>
          </w:p>
          <w:p w:rsidR="006C546D" w:rsidRPr="003B0169" w:rsidRDefault="006C546D" w:rsidP="006C546D">
            <w:pPr>
              <w:rPr>
                <w:rFonts w:ascii="Arial" w:hAnsi="Arial"/>
                <w:szCs w:val="24"/>
              </w:rPr>
            </w:pPr>
          </w:p>
          <w:p w:rsidR="006C546D" w:rsidRPr="003B0169" w:rsidRDefault="006C546D" w:rsidP="006C546D">
            <w:pPr>
              <w:rPr>
                <w:rFonts w:ascii="Arial" w:hAnsi="Arial"/>
                <w:szCs w:val="24"/>
              </w:rPr>
            </w:pPr>
            <w:r w:rsidRPr="003B0169">
              <w:rPr>
                <w:rFonts w:ascii="Arial" w:hAnsi="Arial"/>
                <w:szCs w:val="24"/>
              </w:rPr>
              <w:t xml:space="preserve">Assignments submitted after business hours are to be emailed to the professor, verifying the date and time submitted.  Students will subsequently hand in a hard copy of the assignment.  </w:t>
            </w:r>
          </w:p>
          <w:p w:rsidR="006C546D" w:rsidRPr="003B0169" w:rsidRDefault="006C546D" w:rsidP="006C546D">
            <w:pPr>
              <w:rPr>
                <w:rFonts w:ascii="Arial" w:hAnsi="Arial"/>
                <w:szCs w:val="24"/>
              </w:rPr>
            </w:pPr>
          </w:p>
          <w:p w:rsidR="006C546D" w:rsidRPr="003B0169" w:rsidRDefault="006C546D" w:rsidP="00960F5B">
            <w:pPr>
              <w:rPr>
                <w:rFonts w:ascii="Arial" w:hAnsi="Arial"/>
                <w:szCs w:val="24"/>
                <w:u w:val="single"/>
              </w:rPr>
            </w:pPr>
            <w:r w:rsidRPr="003B0169">
              <w:rPr>
                <w:rFonts w:ascii="Arial" w:hAnsi="Arial"/>
                <w:szCs w:val="24"/>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tc>
      </w:tr>
    </w:tbl>
    <w:p w:rsidR="00D1300B" w:rsidRPr="00010B75" w:rsidRDefault="00D1300B">
      <w:pPr>
        <w:pStyle w:val="EnvelopeReturn"/>
        <w:rPr>
          <w:rFonts w:cs="Arial"/>
        </w:rPr>
      </w:pPr>
    </w:p>
    <w:sectPr w:rsidR="00D1300B" w:rsidRPr="00010B75" w:rsidSect="00567C5D">
      <w:headerReference w:type="even" r:id="rId9"/>
      <w:headerReference w:type="default" r:id="rId10"/>
      <w:pgSz w:w="12240" w:h="15840"/>
      <w:pgMar w:top="1440" w:right="1800" w:bottom="117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5D" w:rsidRDefault="00567C5D">
      <w:r>
        <w:separator/>
      </w:r>
    </w:p>
  </w:endnote>
  <w:endnote w:type="continuationSeparator" w:id="0">
    <w:p w:rsidR="00567C5D" w:rsidRDefault="00567C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5D" w:rsidRDefault="00567C5D">
      <w:r>
        <w:separator/>
      </w:r>
    </w:p>
  </w:footnote>
  <w:footnote w:type="continuationSeparator" w:id="0">
    <w:p w:rsidR="00567C5D" w:rsidRDefault="00567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5D" w:rsidRDefault="009000C0">
    <w:pPr>
      <w:pStyle w:val="Header"/>
      <w:framePr w:wrap="around" w:vAnchor="text" w:hAnchor="margin" w:xAlign="center" w:y="1"/>
      <w:rPr>
        <w:rStyle w:val="PageNumber"/>
      </w:rPr>
    </w:pPr>
    <w:r>
      <w:rPr>
        <w:rStyle w:val="PageNumber"/>
      </w:rPr>
      <w:fldChar w:fldCharType="begin"/>
    </w:r>
    <w:r w:rsidR="00567C5D">
      <w:rPr>
        <w:rStyle w:val="PageNumber"/>
      </w:rPr>
      <w:instrText xml:space="preserve">PAGE  </w:instrText>
    </w:r>
    <w:r>
      <w:rPr>
        <w:rStyle w:val="PageNumber"/>
      </w:rPr>
      <w:fldChar w:fldCharType="separate"/>
    </w:r>
    <w:r w:rsidR="00567C5D">
      <w:rPr>
        <w:rStyle w:val="PageNumber"/>
        <w:noProof/>
      </w:rPr>
      <w:t>1</w:t>
    </w:r>
    <w:r>
      <w:rPr>
        <w:rStyle w:val="PageNumber"/>
      </w:rPr>
      <w:fldChar w:fldCharType="end"/>
    </w:r>
  </w:p>
  <w:p w:rsidR="00567C5D" w:rsidRDefault="00567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5D" w:rsidRPr="00010B75" w:rsidRDefault="009000C0">
    <w:pPr>
      <w:pStyle w:val="Header"/>
      <w:framePr w:wrap="around" w:vAnchor="text" w:hAnchor="margin" w:xAlign="center" w:y="1"/>
      <w:rPr>
        <w:rStyle w:val="PageNumber"/>
        <w:b/>
      </w:rPr>
    </w:pPr>
    <w:r w:rsidRPr="00010B75">
      <w:rPr>
        <w:rStyle w:val="PageNumber"/>
        <w:b/>
      </w:rPr>
      <w:fldChar w:fldCharType="begin"/>
    </w:r>
    <w:r w:rsidR="00567C5D" w:rsidRPr="00010B75">
      <w:rPr>
        <w:rStyle w:val="PageNumber"/>
        <w:b/>
      </w:rPr>
      <w:instrText xml:space="preserve">PAGE  </w:instrText>
    </w:r>
    <w:r w:rsidRPr="00010B75">
      <w:rPr>
        <w:rStyle w:val="PageNumber"/>
        <w:b/>
      </w:rPr>
      <w:fldChar w:fldCharType="separate"/>
    </w:r>
    <w:r w:rsidR="005B1685">
      <w:rPr>
        <w:rStyle w:val="PageNumber"/>
        <w:b/>
        <w:noProof/>
      </w:rPr>
      <w:t>9</w:t>
    </w:r>
    <w:r w:rsidRPr="00010B75">
      <w:rPr>
        <w:rStyle w:val="PageNumber"/>
        <w:b/>
      </w:rPr>
      <w:fldChar w:fldCharType="end"/>
    </w:r>
  </w:p>
  <w:tbl>
    <w:tblPr>
      <w:tblW w:w="0" w:type="auto"/>
      <w:tblLayout w:type="fixed"/>
      <w:tblLook w:val="0000"/>
    </w:tblPr>
    <w:tblGrid>
      <w:gridCol w:w="3794"/>
      <w:gridCol w:w="1134"/>
      <w:gridCol w:w="3928"/>
    </w:tblGrid>
    <w:tr w:rsidR="00567C5D" w:rsidRPr="00010B75">
      <w:tc>
        <w:tcPr>
          <w:tcW w:w="3794" w:type="dxa"/>
        </w:tcPr>
        <w:p w:rsidR="00567C5D" w:rsidRPr="00010B75" w:rsidRDefault="00567C5D">
          <w:pPr>
            <w:rPr>
              <w:rFonts w:ascii="Arial" w:hAnsi="Arial"/>
              <w:b/>
              <w:snapToGrid w:val="0"/>
            </w:rPr>
          </w:pPr>
          <w:r w:rsidRPr="00010B75">
            <w:rPr>
              <w:rFonts w:ascii="Arial" w:hAnsi="Arial"/>
              <w:b/>
              <w:snapToGrid w:val="0"/>
            </w:rPr>
            <w:t>Canadian Social Welfare</w:t>
          </w:r>
        </w:p>
        <w:p w:rsidR="00567C5D" w:rsidRPr="00010B75" w:rsidRDefault="00567C5D">
          <w:pPr>
            <w:rPr>
              <w:rFonts w:ascii="Arial" w:hAnsi="Arial"/>
              <w:b/>
              <w:snapToGrid w:val="0"/>
            </w:rPr>
          </w:pPr>
          <w:r w:rsidRPr="00010B75">
            <w:rPr>
              <w:rFonts w:ascii="Arial" w:hAnsi="Arial"/>
              <w:b/>
              <w:snapToGrid w:val="0"/>
            </w:rPr>
            <w:t>And Aboriginal Policy</w:t>
          </w:r>
        </w:p>
      </w:tc>
      <w:tc>
        <w:tcPr>
          <w:tcW w:w="1134" w:type="dxa"/>
        </w:tcPr>
        <w:p w:rsidR="00567C5D" w:rsidRPr="00010B75" w:rsidRDefault="00567C5D">
          <w:pPr>
            <w:pStyle w:val="Header"/>
            <w:jc w:val="center"/>
            <w:rPr>
              <w:rFonts w:ascii="Arial" w:hAnsi="Arial"/>
              <w:b/>
              <w:snapToGrid w:val="0"/>
            </w:rPr>
          </w:pPr>
        </w:p>
      </w:tc>
      <w:tc>
        <w:tcPr>
          <w:tcW w:w="3928" w:type="dxa"/>
        </w:tcPr>
        <w:p w:rsidR="00567C5D" w:rsidRPr="00010B75" w:rsidRDefault="00567C5D">
          <w:pPr>
            <w:pStyle w:val="Header"/>
            <w:jc w:val="right"/>
            <w:rPr>
              <w:rFonts w:ascii="Arial" w:hAnsi="Arial"/>
              <w:b/>
              <w:snapToGrid w:val="0"/>
            </w:rPr>
          </w:pPr>
          <w:r w:rsidRPr="00010B75">
            <w:rPr>
              <w:rFonts w:ascii="Arial" w:hAnsi="Arial"/>
              <w:b/>
              <w:snapToGrid w:val="0"/>
            </w:rPr>
            <w:t>NSW104</w:t>
          </w:r>
        </w:p>
      </w:tc>
    </w:tr>
  </w:tbl>
  <w:p w:rsidR="00567C5D" w:rsidRDefault="00567C5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8"/>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10"/>
  </w:num>
  <w:num w:numId="12">
    <w:abstractNumId w:val="0"/>
  </w:num>
  <w:num w:numId="13">
    <w:abstractNumId w:val="14"/>
  </w:num>
  <w:num w:numId="14">
    <w:abstractNumId w:val="15"/>
  </w:num>
  <w:num w:numId="15">
    <w:abstractNumId w:val="7"/>
  </w:num>
  <w:num w:numId="16">
    <w:abstractNumId w:val="5"/>
  </w:num>
  <w:num w:numId="17">
    <w:abstractNumId w:val="17"/>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10B75"/>
    <w:rsid w:val="00093D5D"/>
    <w:rsid w:val="001360BA"/>
    <w:rsid w:val="00282364"/>
    <w:rsid w:val="00291742"/>
    <w:rsid w:val="00296F80"/>
    <w:rsid w:val="00323DF5"/>
    <w:rsid w:val="003E151E"/>
    <w:rsid w:val="004F42AB"/>
    <w:rsid w:val="005134AA"/>
    <w:rsid w:val="00567C5D"/>
    <w:rsid w:val="005B1685"/>
    <w:rsid w:val="005B5AE1"/>
    <w:rsid w:val="00626C24"/>
    <w:rsid w:val="00633D15"/>
    <w:rsid w:val="00683545"/>
    <w:rsid w:val="0068422C"/>
    <w:rsid w:val="006C546D"/>
    <w:rsid w:val="00721FF2"/>
    <w:rsid w:val="007E33AE"/>
    <w:rsid w:val="007F132C"/>
    <w:rsid w:val="00867048"/>
    <w:rsid w:val="008F73BE"/>
    <w:rsid w:val="009000C0"/>
    <w:rsid w:val="00936898"/>
    <w:rsid w:val="00960F5B"/>
    <w:rsid w:val="00AB3291"/>
    <w:rsid w:val="00AE5E72"/>
    <w:rsid w:val="00B53EC6"/>
    <w:rsid w:val="00B835FC"/>
    <w:rsid w:val="00BC7B66"/>
    <w:rsid w:val="00CB5A8A"/>
    <w:rsid w:val="00CF42B9"/>
    <w:rsid w:val="00D1300B"/>
    <w:rsid w:val="00D74FF0"/>
    <w:rsid w:val="00E25868"/>
    <w:rsid w:val="00E57715"/>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7258B-7B96-4C1E-B9D2-2D3B9F3FE2B3}"/>
</file>

<file path=customXml/itemProps2.xml><?xml version="1.0" encoding="utf-8"?>
<ds:datastoreItem xmlns:ds="http://schemas.openxmlformats.org/officeDocument/2006/customXml" ds:itemID="{75254332-D90D-4F4A-901A-9E1332FF06F7}"/>
</file>

<file path=customXml/itemProps3.xml><?xml version="1.0" encoding="utf-8"?>
<ds:datastoreItem xmlns:ds="http://schemas.openxmlformats.org/officeDocument/2006/customXml" ds:itemID="{0A53E754-0354-4ED8-95BD-609FDE153AFD}"/>
</file>

<file path=docProps/app.xml><?xml version="1.0" encoding="utf-8"?>
<Properties xmlns="http://schemas.openxmlformats.org/officeDocument/2006/extended-properties" xmlns:vt="http://schemas.openxmlformats.org/officeDocument/2006/docPropsVTypes">
  <Template>Normal.dotm</Template>
  <TotalTime>6</TotalTime>
  <Pages>9</Pages>
  <Words>2503</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6</cp:revision>
  <cp:lastPrinted>2010-01-04T22:24:00Z</cp:lastPrinted>
  <dcterms:created xsi:type="dcterms:W3CDTF">2009-12-12T23:10:00Z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10981000</vt:r8>
  </property>
</Properties>
</file>